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1DCA" w14:textId="77777777" w:rsidR="00754607" w:rsidRPr="00754607" w:rsidRDefault="00754607" w:rsidP="00A15D12">
      <w:pPr>
        <w:spacing w:after="0" w:line="106" w:lineRule="exact"/>
        <w:jc w:val="both"/>
        <w:rPr>
          <w:rFonts w:ascii="Bembo Std" w:eastAsia="Times New Roman" w:hAnsi="Bembo Std" w:cs="Times New Roman"/>
          <w:kern w:val="8"/>
          <w:sz w:val="19"/>
          <w:szCs w:val="20"/>
        </w:rPr>
      </w:pPr>
    </w:p>
    <w:p w14:paraId="30961DCC" w14:textId="77777777" w:rsidR="00754607" w:rsidRPr="00754607" w:rsidRDefault="00754607" w:rsidP="00754607">
      <w:pPr>
        <w:spacing w:after="0" w:line="192" w:lineRule="exact"/>
        <w:jc w:val="center"/>
        <w:rPr>
          <w:rFonts w:ascii="Bembo Std" w:eastAsia="Times New Roman" w:hAnsi="Bembo Std" w:cs="Times New Roman"/>
          <w:b/>
          <w:kern w:val="8"/>
          <w:sz w:val="17"/>
          <w:szCs w:val="16"/>
        </w:rPr>
      </w:pPr>
      <w:r>
        <w:rPr>
          <w:rFonts w:ascii="Bembo Std" w:eastAsia="Times New Roman" w:hAnsi="Bembo Std" w:cs="Times New Roman"/>
          <w:b/>
          <w:kern w:val="8"/>
          <w:sz w:val="17"/>
          <w:szCs w:val="16"/>
        </w:rPr>
        <w:t>Vermögensverwaltende Kommanditgesellschaft</w:t>
      </w:r>
    </w:p>
    <w:p w14:paraId="30961DCD"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Beurkundet am (…)</w:t>
      </w:r>
    </w:p>
    <w:p w14:paraId="30961DCE"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Auf Ansuchen beurkunde ich nach Grundbucheinsicht und bei gleichzeitiger Anwesenheit der Erschienenen ihren vor mir abgegebenen Erklärungen gemäß was folgt:</w:t>
      </w:r>
    </w:p>
    <w:p w14:paraId="30961DCF"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 Sachstand</w:t>
      </w:r>
    </w:p>
    <w:p w14:paraId="30961DD0"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Ehegatten E sind Eigentümer des in der Anlage I aufgeführten Grundbesitzes in dem dort angegebenen Beteiligungsverhältnis.</w:t>
      </w:r>
    </w:p>
    <w:p w14:paraId="30961DD1"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II. Einbringung; Überlassung</w:t>
      </w:r>
    </w:p>
    <w:p w14:paraId="30961DD2" w14:textId="77777777" w:rsidR="00754607" w:rsidRPr="00754607" w:rsidRDefault="00754607" w:rsidP="00754607">
      <w:pPr>
        <w:numPr>
          <w:ilvl w:val="0"/>
          <w:numId w:val="1"/>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Ehegatten E</w:t>
      </w:r>
    </w:p>
    <w:p w14:paraId="30961DD3"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im folgenden kurz „Übergeber“ –</w:t>
      </w:r>
    </w:p>
    <w:p w14:paraId="30961DD4" w14:textId="77777777" w:rsidR="00754607" w:rsidRPr="00754607" w:rsidRDefault="00754607" w:rsidP="00754607">
      <w:pPr>
        <w:spacing w:after="43"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bringen hiermit den in Abschnitt I dieser Urkunde bezeichneten Grundbesitz samt allen Rechten, Bestandteilen und dem gesetzlichen Zubehör in eine Kommanditgesellschaft ein, die nach Maßgabe des dieser Urkunde als Anlage II beigefügten Gesellschaftsvertrags errichtet wird, der vom Notar verlesen wurde und einen wesentlichen Bestandteil dieser Urkunde bildet.</w:t>
      </w:r>
    </w:p>
    <w:p w14:paraId="30961DD5" w14:textId="77777777" w:rsidR="00754607" w:rsidRPr="00754607" w:rsidRDefault="00754607" w:rsidP="00754607">
      <w:pPr>
        <w:numPr>
          <w:ilvl w:val="0"/>
          <w:numId w:val="1"/>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Infolge der Einbringung sind an der Gesellschaft beteiligt:</w:t>
      </w:r>
    </w:p>
    <w:p w14:paraId="30961DD6" w14:textId="77777777" w:rsidR="00754607" w:rsidRPr="00754607" w:rsidRDefault="00754607" w:rsidP="00754607">
      <w:pPr>
        <w:numPr>
          <w:ilvl w:val="0"/>
          <w:numId w:val="2"/>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Herr EM mit einer Festeinlage von 10.000,-- EUR, entsprechend einer Beteiligung am Gesellschaftsvermögen von 10 %</w:t>
      </w:r>
    </w:p>
    <w:p w14:paraId="30961DD7" w14:textId="77777777" w:rsidR="00754607" w:rsidRPr="00754607" w:rsidRDefault="00754607" w:rsidP="00754607">
      <w:pPr>
        <w:numPr>
          <w:ilvl w:val="0"/>
          <w:numId w:val="2"/>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Frau EF mit einer Festeinlage von 10.000,-- EUR, entsprechend einer Beteiligung am Gesellschaftsvermögen von 10 %.</w:t>
      </w:r>
    </w:p>
    <w:p w14:paraId="30961DD8" w14:textId="77777777" w:rsidR="00754607" w:rsidRPr="00754607" w:rsidRDefault="00754607" w:rsidP="00754607">
      <w:pPr>
        <w:spacing w:after="0"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Zugleich räumt der Übergeber seinen Kindern</w:t>
      </w:r>
    </w:p>
    <w:p w14:paraId="30961DD9" w14:textId="77777777" w:rsidR="00754607" w:rsidRPr="00754607" w:rsidRDefault="00754607" w:rsidP="00754607">
      <w:pPr>
        <w:spacing w:after="0"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Frau ET und Herrn ES,</w:t>
      </w:r>
    </w:p>
    <w:p w14:paraId="30961DDA" w14:textId="77777777" w:rsidR="00754607" w:rsidRPr="00754607" w:rsidRDefault="00874EC8" w:rsidP="00754607">
      <w:pPr>
        <w:spacing w:after="0"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sym w:font="Symbol" w:char="F02D"/>
      </w:r>
      <w:r w:rsidR="00754607">
        <w:rPr>
          <w:rFonts w:ascii="Bembo Std" w:eastAsia="Times New Roman" w:hAnsi="Bembo Std" w:cs="Times New Roman"/>
          <w:kern w:val="8"/>
          <w:sz w:val="17"/>
          <w:szCs w:val="16"/>
        </w:rPr>
        <w:t xml:space="preserve"> nachfolgend „der Erwerber“ –</w:t>
      </w:r>
    </w:p>
    <w:p w14:paraId="30961DDB" w14:textId="77777777" w:rsidR="00754607" w:rsidRPr="00754607" w:rsidRDefault="00754607" w:rsidP="00754607">
      <w:pPr>
        <w:spacing w:after="0"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Stellung als Kommanditisten der Gesellschaft ein, indem er ihnen folgende Gesellschaftsanteile mit Wirkung zum Zeitpunkt der Eintragung der Kommanditgesellschaft im Handelsregister überlässt:</w:t>
      </w:r>
    </w:p>
    <w:p w14:paraId="30961DDC" w14:textId="77777777" w:rsidR="00754607" w:rsidRPr="00754607" w:rsidRDefault="00754607" w:rsidP="00754607">
      <w:pPr>
        <w:numPr>
          <w:ilvl w:val="0"/>
          <w:numId w:val="2"/>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Herr EM an Frau ET: Kommanditeinlage von 20.000,-- EUR, entsprechend einer Beteiligung am Gesellschaftsvermögen von 20 %</w:t>
      </w:r>
    </w:p>
    <w:p w14:paraId="30961DDD" w14:textId="77777777" w:rsidR="00754607" w:rsidRPr="00754607" w:rsidRDefault="00754607" w:rsidP="00754607">
      <w:pPr>
        <w:numPr>
          <w:ilvl w:val="0"/>
          <w:numId w:val="2"/>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Frau EF an Frau ET: Kommanditanteil von 20.000,-- EUR, entsprechend einer Beteiligung am Gesellschaftsvermögen von 20 %</w:t>
      </w:r>
    </w:p>
    <w:p w14:paraId="30961DDE" w14:textId="77777777" w:rsidR="00754607" w:rsidRPr="00754607" w:rsidRDefault="00754607" w:rsidP="00754607">
      <w:pPr>
        <w:numPr>
          <w:ilvl w:val="0"/>
          <w:numId w:val="2"/>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Herr EM an Herrn ES: Kommanditeinlage von 20.000,-- EUR, entsprechend einer Beteiligung am Gesellschaftsvermögen von 20 %</w:t>
      </w:r>
    </w:p>
    <w:p w14:paraId="30961DDF" w14:textId="77777777" w:rsidR="00754607" w:rsidRPr="00754607" w:rsidRDefault="00754607" w:rsidP="00754607">
      <w:pPr>
        <w:numPr>
          <w:ilvl w:val="0"/>
          <w:numId w:val="2"/>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Frau EF an Herrn ES: Kommanditanteil von 20.000,-- EUR, entsprechend einer Beteiligung am Gesellschaftsvermögen von 20 %.</w:t>
      </w:r>
    </w:p>
    <w:p w14:paraId="30961DE0" w14:textId="77777777" w:rsidR="00754607" w:rsidRPr="00754607" w:rsidRDefault="00754607" w:rsidP="00754607">
      <w:pPr>
        <w:numPr>
          <w:ilvl w:val="0"/>
          <w:numId w:val="1"/>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Soweit Gesellschaftsanteile auf die Kinder des Übergebers übergehen, geschieht d</w:t>
      </w:r>
      <w:r w:rsidR="00874EC8">
        <w:rPr>
          <w:rFonts w:ascii="Bembo Std" w:eastAsia="Times New Roman" w:hAnsi="Bembo Std" w:cs="Times New Roman"/>
          <w:kern w:val="8"/>
          <w:sz w:val="17"/>
          <w:szCs w:val="16"/>
        </w:rPr>
        <w:t>i</w:t>
      </w:r>
      <w:r>
        <w:rPr>
          <w:rFonts w:ascii="Bembo Std" w:eastAsia="Times New Roman" w:hAnsi="Bembo Std" w:cs="Times New Roman"/>
          <w:kern w:val="8"/>
          <w:sz w:val="17"/>
          <w:szCs w:val="16"/>
        </w:rPr>
        <w:t>es unentgeltlich im Wege der vorweggenommenen Erbfolge.</w:t>
      </w:r>
    </w:p>
    <w:p w14:paraId="30961DE1"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III. Auflassung</w:t>
      </w:r>
    </w:p>
    <w:p w14:paraId="30961DE2"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Vertragsteile sind sich darüber einig, dass das Eigentum an dem in Anlage I aufgeführten Grundbesitz auf die Kommanditgesellschaft als Alleineigentümerin übergeht und bewilligen und beantragen die Eintragung der Rechtsänderung im Grundbuch.</w:t>
      </w:r>
    </w:p>
    <w:p w14:paraId="30961DE3"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IV. Besitz, Nutzungen, Lasten</w:t>
      </w:r>
    </w:p>
    <w:p w14:paraId="30961DE4"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Der mittelbare Besitz, die Gefahr des zufälligen Untergangs und der zufälligen Verschlechterung gehen mit Wirkung der Eintragung der Kommanditgesellschaft im Handelsregister auf die Gesellschaft über, der unmittelbare Besitz, die Nutzungen und die Lasten gehen mit Beendigung des in dieser Urkunde vereinbarten </w:t>
      </w:r>
      <w:proofErr w:type="spellStart"/>
      <w:r>
        <w:rPr>
          <w:rFonts w:ascii="Bembo Std" w:eastAsia="Times New Roman" w:hAnsi="Bembo Std" w:cs="Times New Roman"/>
          <w:kern w:val="8"/>
          <w:sz w:val="17"/>
          <w:szCs w:val="16"/>
        </w:rPr>
        <w:t>Nießbrauchsrechts</w:t>
      </w:r>
      <w:proofErr w:type="spellEnd"/>
      <w:r>
        <w:rPr>
          <w:rFonts w:ascii="Bembo Std" w:eastAsia="Times New Roman" w:hAnsi="Bembo Std" w:cs="Times New Roman"/>
          <w:kern w:val="8"/>
          <w:sz w:val="17"/>
          <w:szCs w:val="16"/>
        </w:rPr>
        <w:t xml:space="preserve"> über.</w:t>
      </w:r>
    </w:p>
    <w:p w14:paraId="30961DE5"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Grundbesitz ist vermietet. Auf § 566 BGB wurde hingewiesen.</w:t>
      </w:r>
    </w:p>
    <w:p w14:paraId="30961DE6"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 Rechte bei Mängeln/Belastungsübernahme</w:t>
      </w:r>
    </w:p>
    <w:p w14:paraId="30961DE7" w14:textId="77777777" w:rsidR="00754607" w:rsidRPr="00754607" w:rsidRDefault="00754607" w:rsidP="00754607">
      <w:pPr>
        <w:spacing w:after="43"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1. Haftungsausschluss</w:t>
      </w:r>
    </w:p>
    <w:p w14:paraId="30961DE8"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 Sach- und Rechtsmängelhaftung wird hiermit ausgeschlossen; der Grundbesitz wird im derzeitigen Zustand übernommen.</w:t>
      </w:r>
    </w:p>
    <w:p w14:paraId="30961DE9" w14:textId="77777777" w:rsidR="00754607" w:rsidRPr="00754607" w:rsidRDefault="00754607" w:rsidP="00754607">
      <w:pPr>
        <w:spacing w:after="43"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2. Belastungen in Abteilung II des Grundbuchs</w:t>
      </w:r>
    </w:p>
    <w:p w14:paraId="30961DEA"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in Abteilung II des Grundbuchs eingetragenen Rechte werden zur weiteren Duldung und Erfüllung übernommen unter Eintritt in die zugrunde liegenden Bewilligungsurkunden.</w:t>
      </w:r>
    </w:p>
    <w:p w14:paraId="30961DEB" w14:textId="77777777" w:rsidR="00754607" w:rsidRPr="00754607" w:rsidRDefault="00754607" w:rsidP="00754607">
      <w:pPr>
        <w:spacing w:after="43" w:line="192" w:lineRule="exact"/>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3. Belastungen in Abteilung III des Grundbuchs</w:t>
      </w:r>
    </w:p>
    <w:p w14:paraId="30961DEC"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Kommanditgesellschaft übernimmt die nachfolgend in der Anlage II aufgeführten, in Abteilung III des Grundbuchs eingetragenen Belastungen in dinglicher Haftung zum Zeitpunkt der Eigentumsumschreibung.</w:t>
      </w:r>
    </w:p>
    <w:p w14:paraId="30961DED"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Entstandene Eigentümerrechte und Rückgewähransprüche werden entschädigungslos auf die Kommanditgesellschaft übertragen; die Umschreibung im Grundbuch wird bewilligt.</w:t>
      </w:r>
    </w:p>
    <w:p w14:paraId="30961DEE"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Ferner übernimmt die Kommanditgesellschaft die zugrunde liegenden Schuldverpflichtungen, jedoch aufschiebend bedingt mit Beendigung des in dieser Urkunde bestellten Nieß</w:t>
      </w:r>
      <w:r w:rsidR="00874EC8">
        <w:rPr>
          <w:rFonts w:ascii="Bembo Std" w:eastAsia="Times New Roman" w:hAnsi="Bembo Std" w:cs="Times New Roman"/>
          <w:kern w:val="8"/>
          <w:sz w:val="17"/>
          <w:szCs w:val="16"/>
        </w:rPr>
        <w:t>brauchs mit dem zu diesem Zeitpu</w:t>
      </w:r>
      <w:r>
        <w:rPr>
          <w:rFonts w:ascii="Bembo Std" w:eastAsia="Times New Roman" w:hAnsi="Bembo Std" w:cs="Times New Roman"/>
          <w:kern w:val="8"/>
          <w:sz w:val="17"/>
          <w:szCs w:val="16"/>
        </w:rPr>
        <w:t>nkt gegebenen Stand der Darlehensverbindlichkeiten zur ferneren Verzinsung und Rückzahlung mit allen aus den Bestellungsurkunden und den Darlehensverträgen sich ergebenden Verpflichtungen.</w:t>
      </w:r>
    </w:p>
    <w:p w14:paraId="30961DEF"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Auf das Erfordernis der künftigen Änderung der Zweckbestimmungserklärung wurde hingewiesen. Die erforderliche Schuldübernahmegenehmigung werden die Beteiligten bei Beendigung des Nießbrauchs </w:t>
      </w:r>
      <w:r w:rsidRPr="00754607">
        <w:rPr>
          <w:rFonts w:ascii="Bembo Std" w:eastAsia="Times New Roman" w:hAnsi="Bembo Std" w:cs="Times New Roman"/>
          <w:kern w:val="8"/>
          <w:sz w:val="17"/>
          <w:szCs w:val="16"/>
        </w:rPr>
        <w:t>selbst einholen. Sofern die Schuldübernahme nicht genehmigt oder aus anderen Gründen unwirksam sein sollte, gilt sie als Erfüllungsübernahme vereinbart.</w:t>
      </w:r>
    </w:p>
    <w:p w14:paraId="30961DF0"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Übergeber bleibt berechtigt, diese Grundpfandrechte jederzeit für eigene Verbindlichkeiten neu zu valutieren.</w:t>
      </w:r>
    </w:p>
    <w:p w14:paraId="30961DF1"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 Nießbrauchsvorbehalt</w:t>
      </w:r>
    </w:p>
    <w:p w14:paraId="30961DF2"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1. Nießbrauch am Grundbesitz</w:t>
      </w:r>
    </w:p>
    <w:p w14:paraId="30961DF3"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Jeder Übergeber behält sich auf seine Lebensdauer den</w:t>
      </w:r>
    </w:p>
    <w:p w14:paraId="30961DF4" w14:textId="77777777" w:rsidR="00754607" w:rsidRPr="00754607" w:rsidRDefault="00754607" w:rsidP="00754607">
      <w:pPr>
        <w:spacing w:after="43" w:line="192" w:lineRule="exact"/>
        <w:ind w:firstLine="170"/>
        <w:jc w:val="center"/>
        <w:rPr>
          <w:rFonts w:ascii="Bembo Std" w:eastAsia="Times New Roman" w:hAnsi="Bembo Std" w:cs="Times New Roman"/>
          <w:spacing w:val="20"/>
          <w:kern w:val="8"/>
          <w:sz w:val="17"/>
          <w:szCs w:val="16"/>
        </w:rPr>
      </w:pPr>
      <w:r>
        <w:rPr>
          <w:rFonts w:ascii="Bembo Std" w:eastAsia="Times New Roman" w:hAnsi="Bembo Std" w:cs="Times New Roman"/>
          <w:spacing w:val="20"/>
          <w:kern w:val="8"/>
          <w:sz w:val="17"/>
          <w:szCs w:val="16"/>
        </w:rPr>
        <w:t>Nießbrauch</w:t>
      </w:r>
    </w:p>
    <w:p w14:paraId="30961DF5"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an dem in Abschnitt II. 1. von ihm jeweils eingebrachten Grundbesitz vor. Danach ist der Nießbraucher berechtigt, sämtliche Nutzungen aus bezeichnetem Grundbesitz zu ziehen und verpflichtet, sämtliche darauf ruhenden privaten und öffentlichen Lasten einschließlich der außerordentlichen öffentlichen Lasten zu tragen. Der Nießbraucher hat auch die nach der gesetzlichen Lastenverteilungsregelung dem Eigentümer obliegenden privaten Lasten zu tragen, insbesondere die </w:t>
      </w:r>
      <w:r>
        <w:rPr>
          <w:rFonts w:ascii="Bembo Std" w:eastAsia="Times New Roman" w:hAnsi="Bembo Std" w:cs="Times New Roman"/>
          <w:kern w:val="8"/>
          <w:sz w:val="17"/>
          <w:szCs w:val="16"/>
        </w:rPr>
        <w:lastRenderedPageBreak/>
        <w:t>außergewöhnlichen Ausbesserungen und Erneuerungen. Im Übrigen gelten für den Nießbrauch die gesetzlichen Bestimmungen.</w:t>
      </w:r>
    </w:p>
    <w:p w14:paraId="30961DF6"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Im Fall der Veräußerung des </w:t>
      </w:r>
      <w:proofErr w:type="spellStart"/>
      <w:r>
        <w:rPr>
          <w:rFonts w:ascii="Bembo Std" w:eastAsia="Times New Roman" w:hAnsi="Bembo Std" w:cs="Times New Roman"/>
          <w:kern w:val="8"/>
          <w:sz w:val="17"/>
          <w:szCs w:val="16"/>
        </w:rPr>
        <w:t>nießbrauchsbelasteten</w:t>
      </w:r>
      <w:proofErr w:type="spellEnd"/>
      <w:r>
        <w:rPr>
          <w:rFonts w:ascii="Bembo Std" w:eastAsia="Times New Roman" w:hAnsi="Bembo Std" w:cs="Times New Roman"/>
          <w:kern w:val="8"/>
          <w:sz w:val="17"/>
          <w:szCs w:val="16"/>
        </w:rPr>
        <w:t xml:space="preserve"> Vertragsobjekts setzt sich der Nießbrauch an dem Surrogat fort.</w:t>
      </w:r>
    </w:p>
    <w:p w14:paraId="30961DF7"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2. Nießbrauch an den Gesellschaftsanteilen</w:t>
      </w:r>
    </w:p>
    <w:p w14:paraId="30961DF8"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Jeder Übergeber behält sich ferner auf seine Lebensdauer den Nießbrauch an den an die Erwerber überlassenen Gesellschaftsanteilen vor. Danach ist er insbesondere berechtigt, sämtliche Nutzungen aus den Gesellschaftsanteilen zu ziehen. Der Nießbraucher ist ferner berechtigt, auf die Dauer des Bestehens des </w:t>
      </w:r>
      <w:proofErr w:type="spellStart"/>
      <w:r>
        <w:rPr>
          <w:rFonts w:ascii="Bembo Std" w:eastAsia="Times New Roman" w:hAnsi="Bembo Std" w:cs="Times New Roman"/>
          <w:kern w:val="8"/>
          <w:sz w:val="17"/>
          <w:szCs w:val="16"/>
        </w:rPr>
        <w:t>Nießbrauchsrechts</w:t>
      </w:r>
      <w:proofErr w:type="spellEnd"/>
      <w:r>
        <w:rPr>
          <w:rFonts w:ascii="Bembo Std" w:eastAsia="Times New Roman" w:hAnsi="Bembo Std" w:cs="Times New Roman"/>
          <w:kern w:val="8"/>
          <w:sz w:val="17"/>
          <w:szCs w:val="16"/>
        </w:rPr>
        <w:t xml:space="preserve"> das Stimmrecht für jeden Erwerber in der Gesellschafterversammlung auszuüben; vorsorglich wird der Nießbraucher unter Befreiung von § 181 BGB hierzu unwiderruflich bevollmächtigt.</w:t>
      </w:r>
    </w:p>
    <w:p w14:paraId="30961DF9"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3. Nießbrauch aufschiebend bedingt für Ehegatten</w:t>
      </w:r>
    </w:p>
    <w:p w14:paraId="30961DFA"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Nach dem Ableben einer Übergebers steht dessen </w:t>
      </w:r>
      <w:proofErr w:type="spellStart"/>
      <w:r>
        <w:rPr>
          <w:rFonts w:ascii="Bembo Std" w:eastAsia="Times New Roman" w:hAnsi="Bembo Std" w:cs="Times New Roman"/>
          <w:kern w:val="8"/>
          <w:sz w:val="17"/>
          <w:szCs w:val="16"/>
        </w:rPr>
        <w:t>Nießbrauchsrecht</w:t>
      </w:r>
      <w:proofErr w:type="spellEnd"/>
      <w:r>
        <w:rPr>
          <w:rFonts w:ascii="Bembo Std" w:eastAsia="Times New Roman" w:hAnsi="Bembo Std" w:cs="Times New Roman"/>
          <w:kern w:val="8"/>
          <w:sz w:val="17"/>
          <w:szCs w:val="16"/>
        </w:rPr>
        <w:t xml:space="preserve"> gem. Ziff. 1. und 2. dem überlebenden Übergeber auf dessen Lebensdauer zu den vorstehend vereinbarten Bedingungen alleine zu. Dies gilt nicht, wenn die Ehe der Ehegatten </w:t>
      </w:r>
      <w:r w:rsidR="00874EC8">
        <w:rPr>
          <w:rFonts w:ascii="Bembo Std" w:eastAsia="Times New Roman" w:hAnsi="Bembo Std" w:cs="Times New Roman"/>
          <w:kern w:val="8"/>
          <w:sz w:val="17"/>
          <w:szCs w:val="16"/>
        </w:rPr>
        <w:t>E</w:t>
      </w:r>
      <w:r>
        <w:rPr>
          <w:rFonts w:ascii="Bembo Std" w:eastAsia="Times New Roman" w:hAnsi="Bembo Std" w:cs="Times New Roman"/>
          <w:kern w:val="8"/>
          <w:sz w:val="17"/>
          <w:szCs w:val="16"/>
        </w:rPr>
        <w:t xml:space="preserve"> zum Zeitpunkt des Ablebens des Übergebers nicht mehr bestehen sollte.</w:t>
      </w:r>
    </w:p>
    <w:p w14:paraId="30961DFB"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Vollmacht gem. vorstehend 2. wird für diesen Fall entsprechend auch dem jeweils anderen Übergeber zu gleichen Bedingungen erteilt.</w:t>
      </w:r>
    </w:p>
    <w:p w14:paraId="30961DFC"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4. Grundbucherklärungen</w:t>
      </w:r>
    </w:p>
    <w:p w14:paraId="30961DFD"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Beteiligten bewilligen und beantrage</w:t>
      </w:r>
      <w:r w:rsidR="00874EC8">
        <w:rPr>
          <w:rFonts w:ascii="Bembo Std" w:eastAsia="Times New Roman" w:hAnsi="Bembo Std" w:cs="Times New Roman"/>
          <w:kern w:val="8"/>
          <w:sz w:val="17"/>
          <w:szCs w:val="16"/>
        </w:rPr>
        <w:t>n die Eintragung des Nießbrauch</w:t>
      </w:r>
      <w:r>
        <w:rPr>
          <w:rFonts w:ascii="Bembo Std" w:eastAsia="Times New Roman" w:hAnsi="Bembo Std" w:cs="Times New Roman"/>
          <w:kern w:val="8"/>
          <w:sz w:val="17"/>
          <w:szCs w:val="16"/>
        </w:rPr>
        <w:t>s gem. Ziff. 1. im Grundbuch für die Übergeber – als Gesamtberechtigte gem. § 428 BGB – mit dem Vermerk, dass zur Löschung des Rechts der Nachweis des Ablebens des Berechtigten genügen soll.</w:t>
      </w:r>
    </w:p>
    <w:p w14:paraId="30961DFE"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VII. Pflichtteilsanrechnung</w:t>
      </w:r>
    </w:p>
    <w:p w14:paraId="30961DFF"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Jeder Erwerber hat sich den Wert des von ihm erworbenen Gesellschaftsanteils, abzüglich des nach steuerlichen Vorschriften kapita</w:t>
      </w:r>
      <w:r w:rsidR="00874EC8">
        <w:rPr>
          <w:rFonts w:ascii="Bembo Std" w:eastAsia="Times New Roman" w:hAnsi="Bembo Std" w:cs="Times New Roman"/>
          <w:kern w:val="8"/>
          <w:sz w:val="17"/>
          <w:szCs w:val="16"/>
        </w:rPr>
        <w:t>lisierten Wertes des Nießbrauch</w:t>
      </w:r>
      <w:r>
        <w:rPr>
          <w:rFonts w:ascii="Bembo Std" w:eastAsia="Times New Roman" w:hAnsi="Bembo Std" w:cs="Times New Roman"/>
          <w:kern w:val="8"/>
          <w:sz w:val="17"/>
          <w:szCs w:val="16"/>
        </w:rPr>
        <w:t>s, auf sein Pflichtteilsrecht am Nachlass des jeweiligen Übergebers anrechnen zu lassen. Sofern der Anrechnungswert im Zeitpunkt des Erbfalls niedriger ist, ist dieser Wert maßgebend. Die Anrechnung ist auflösend bedingt für den Fall der Ausübung des nachfolge</w:t>
      </w:r>
      <w:r w:rsidR="00874EC8">
        <w:rPr>
          <w:rFonts w:ascii="Bembo Std" w:eastAsia="Times New Roman" w:hAnsi="Bembo Std" w:cs="Times New Roman"/>
          <w:kern w:val="8"/>
          <w:sz w:val="17"/>
          <w:szCs w:val="16"/>
        </w:rPr>
        <w:t>nd vereinbarten Rücktrittsrecht</w:t>
      </w:r>
      <w:r>
        <w:rPr>
          <w:rFonts w:ascii="Bembo Std" w:eastAsia="Times New Roman" w:hAnsi="Bembo Std" w:cs="Times New Roman"/>
          <w:kern w:val="8"/>
          <w:sz w:val="17"/>
          <w:szCs w:val="16"/>
        </w:rPr>
        <w:t>s.</w:t>
      </w:r>
    </w:p>
    <w:p w14:paraId="30961E00"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Jeder Erwerber stimmt der vorstehenden Anrechnungsvereinbarung ausdrücklich zu. Eine Erbausgleichung gem. §§ 2050, 2052 BGB wird ausgeschlossen.</w:t>
      </w:r>
    </w:p>
    <w:p w14:paraId="30961E01"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VIII. Veräußerungs- und Widerrufsrecht</w:t>
      </w:r>
    </w:p>
    <w:p w14:paraId="30961E02"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1. Veräußerungsrecht</w:t>
      </w:r>
    </w:p>
    <w:p w14:paraId="30961E03"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Jeder Übergeber ist jederzeit berechtigt, die Schenkung des von ihm eingebrachten Grundbesitzes zu widerrufen und den von ihm eingebrachten Grundbesitz ganz oder teilweise zu veräußern und den auf ihn entfallenden Veräußerungserlös beliebig zu verwenden.</w:t>
      </w:r>
    </w:p>
    <w:p w14:paraId="30961E04"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2. Voraussetzungen des Widerrufsrechts</w:t>
      </w:r>
    </w:p>
    <w:p w14:paraId="30961E05"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Die Übergeber und der </w:t>
      </w:r>
      <w:proofErr w:type="spellStart"/>
      <w:r>
        <w:rPr>
          <w:rFonts w:ascii="Bembo Std" w:eastAsia="Times New Roman" w:hAnsi="Bembo Std" w:cs="Times New Roman"/>
          <w:kern w:val="8"/>
          <w:sz w:val="17"/>
          <w:szCs w:val="16"/>
        </w:rPr>
        <w:t>Längerlebende</w:t>
      </w:r>
      <w:proofErr w:type="spellEnd"/>
      <w:r>
        <w:rPr>
          <w:rFonts w:ascii="Bembo Std" w:eastAsia="Times New Roman" w:hAnsi="Bembo Std" w:cs="Times New Roman"/>
          <w:kern w:val="8"/>
          <w:sz w:val="17"/>
          <w:szCs w:val="16"/>
        </w:rPr>
        <w:t xml:space="preserve"> von ihnen als Gesamtberechtigte gem. § 428 BGB</w:t>
      </w:r>
    </w:p>
    <w:p w14:paraId="30961E06" w14:textId="77777777" w:rsidR="00754607" w:rsidRPr="00754607" w:rsidRDefault="00754607" w:rsidP="00754607">
      <w:pPr>
        <w:spacing w:after="43" w:line="192" w:lineRule="exact"/>
        <w:ind w:firstLine="170"/>
        <w:jc w:val="right"/>
        <w:rPr>
          <w:rFonts w:ascii="Bembo Std" w:eastAsia="Times New Roman" w:hAnsi="Bembo Std" w:cs="Times New Roman"/>
          <w:kern w:val="8"/>
          <w:sz w:val="17"/>
          <w:szCs w:val="16"/>
        </w:rPr>
      </w:pPr>
      <w:r>
        <w:rPr>
          <w:rFonts w:ascii="Bembo Std" w:eastAsia="Times New Roman" w:hAnsi="Bembo Std" w:cs="Times New Roman"/>
          <w:kern w:val="8"/>
          <w:sz w:val="17"/>
          <w:szCs w:val="16"/>
        </w:rPr>
        <w:t>- nachstehend gemeinsam „der Berechtigte“ –</w:t>
      </w:r>
    </w:p>
    <w:p w14:paraId="30961E07"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sind berechtigt</w:t>
      </w:r>
      <w:r w:rsidR="00874EC8">
        <w:rPr>
          <w:rFonts w:ascii="Bembo Std" w:eastAsia="Times New Roman" w:hAnsi="Bembo Std" w:cs="Times New Roman"/>
          <w:kern w:val="8"/>
          <w:sz w:val="17"/>
          <w:szCs w:val="16"/>
        </w:rPr>
        <w:t>,</w:t>
      </w:r>
      <w:r>
        <w:rPr>
          <w:rFonts w:ascii="Bembo Std" w:eastAsia="Times New Roman" w:hAnsi="Bembo Std" w:cs="Times New Roman"/>
          <w:kern w:val="8"/>
          <w:sz w:val="17"/>
          <w:szCs w:val="16"/>
        </w:rPr>
        <w:t xml:space="preserve"> die Schenkungsabrede zu widerrufen und die unentgeltliche Übertragung des dem betreffenden Erwerber eingeräumten Gesellschaftsanteils</w:t>
      </w:r>
    </w:p>
    <w:p w14:paraId="30961E08" w14:textId="77777777" w:rsidR="00754607" w:rsidRPr="00754607" w:rsidRDefault="00754607" w:rsidP="00754607">
      <w:pPr>
        <w:spacing w:after="43" w:line="192" w:lineRule="exact"/>
        <w:ind w:firstLine="170"/>
        <w:jc w:val="right"/>
        <w:rPr>
          <w:rFonts w:ascii="Bembo Std" w:eastAsia="Times New Roman" w:hAnsi="Bembo Std" w:cs="Times New Roman"/>
          <w:kern w:val="8"/>
          <w:sz w:val="17"/>
          <w:szCs w:val="16"/>
        </w:rPr>
      </w:pPr>
      <w:r>
        <w:rPr>
          <w:rFonts w:ascii="Bembo Std" w:eastAsia="Times New Roman" w:hAnsi="Bembo Std" w:cs="Times New Roman"/>
          <w:kern w:val="8"/>
          <w:sz w:val="17"/>
          <w:szCs w:val="16"/>
        </w:rPr>
        <w:t>- nachstehend „der Vertragsgegenstand“ –</w:t>
      </w:r>
    </w:p>
    <w:p w14:paraId="30961E09"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auf die verbleibenden Gesellschafter in deren Anteilsverhältnis zu verlangen, wenn</w:t>
      </w:r>
    </w:p>
    <w:p w14:paraId="30961E0A"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 der Erwerber die Gesellschaft kündigt oder aus der Gesellschaft ausgeschlossen wird; oder</w:t>
      </w:r>
    </w:p>
    <w:p w14:paraId="30961E0B"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 der Vertragsgegenstand ohne schriftliche Zustimmung des Berechtigten veräußert oder belastet wird; oder</w:t>
      </w:r>
    </w:p>
    <w:p w14:paraId="30961E0C"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c) der Vertragsgegenstand zu Lebzeiten des Berechtigten durch Erwerb von Todes wegen auf andere Personen als leibliche Abkömmlinge des Berechtigten übergeht; oder</w:t>
      </w:r>
    </w:p>
    <w:p w14:paraId="30961E0D"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 eine wesentliche Verschlechterung in den Vermögensverhältnissen des Erwerbers eintritt und ein Insolvenzverfahren über das Vermögen des Erwerb</w:t>
      </w:r>
      <w:r w:rsidR="00874EC8">
        <w:rPr>
          <w:rFonts w:ascii="Bembo Std" w:eastAsia="Times New Roman" w:hAnsi="Bembo Std" w:cs="Times New Roman"/>
          <w:kern w:val="8"/>
          <w:sz w:val="17"/>
          <w:szCs w:val="16"/>
        </w:rPr>
        <w:t>er</w:t>
      </w:r>
      <w:r>
        <w:rPr>
          <w:rFonts w:ascii="Bembo Std" w:eastAsia="Times New Roman" w:hAnsi="Bembo Std" w:cs="Times New Roman"/>
          <w:kern w:val="8"/>
          <w:sz w:val="17"/>
          <w:szCs w:val="16"/>
        </w:rPr>
        <w:t>s droht; oder</w:t>
      </w:r>
    </w:p>
    <w:p w14:paraId="30961E0E"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e) die Zwangsvollstreckung in den Vertragsgegenstand betrieben wird, ohne dass der Erwerber die Maßnahme innerhalb von drei Monaten abwendet; oder</w:t>
      </w:r>
    </w:p>
    <w:p w14:paraId="30961E0F"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f) der Erwerber oder dessen (künftiger) Ehegatte einen Scheidungsantrag stellt und der Vertragsgegenstand im Scheidungsverfahren in irgendeiner Weise zur Berechnung von Ansprüchen auf Zugewinnausgleich oder Unterhalt herangezogen wird; oder</w:t>
      </w:r>
    </w:p>
    <w:p w14:paraId="30961E10"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g) soweit aufgrund der Zuwendung Schenkungsteuer anfällt oder nacherhoben wird; der Widerruf kann auch mit der Maßgabe ausgeübt werden, dass nur die steuerschädliche Quote der Übertragung widerrufen wird; oder</w:t>
      </w:r>
    </w:p>
    <w:p w14:paraId="30961E11"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h) die Voraussetzungen für die Entziehung des Pflichtteils eintreten oder bei grobem Undank des Erwerbers gegenüber dem Anspruchsberechtigten; oder</w:t>
      </w:r>
    </w:p>
    <w:p w14:paraId="30961E12"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i) der Erwerber der Spiel-, Drogen- oder Alkoholsucht verfällt; oder</w:t>
      </w:r>
    </w:p>
    <w:p w14:paraId="30961E13"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 der Erwerber sich einer in einem Sektenbericht des Bundes, eines Bundeslandes oder einer öffentlich-rechtlichen Religionskörperschaft aufgeführten Sekte oder einer im „Verzeichnis extremistischer oder extremistisch beeinflusster Organisationen“ des Bayerischen Staatsministeriums des Inneren in der jeweils gültigen Fassung</w:t>
      </w:r>
      <w:r w:rsidR="00874EC8">
        <w:rPr>
          <w:rFonts w:ascii="Bembo Std" w:eastAsia="Times New Roman" w:hAnsi="Bembo Std" w:cs="Times New Roman"/>
          <w:kern w:val="8"/>
          <w:sz w:val="17"/>
          <w:szCs w:val="16"/>
        </w:rPr>
        <w:t xml:space="preserve"> auf</w:t>
      </w:r>
      <w:r>
        <w:rPr>
          <w:rFonts w:ascii="Bembo Std" w:eastAsia="Times New Roman" w:hAnsi="Bembo Std" w:cs="Times New Roman"/>
          <w:kern w:val="8"/>
          <w:sz w:val="17"/>
          <w:szCs w:val="16"/>
        </w:rPr>
        <w:t>geführten Vereinigung anschließt; oder</w:t>
      </w:r>
    </w:p>
    <w:p w14:paraId="30961E14"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k) für den Fall der Not gemäß § 528 BGB.</w:t>
      </w:r>
    </w:p>
    <w:p w14:paraId="30961E15"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3. Form des Widerrufs</w:t>
      </w:r>
    </w:p>
    <w:p w14:paraId="30961E16"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Widerruf kann nur durch notariell beurkundete oder schriftliche Erklärung gegenüber dem Erwerber oder dessen Gesamtrechtsnachfolger ausgeübt werden. Die durch die Rückübertragung entstehenden Kosten hat der Widerrufsberechtigte zu tragen.</w:t>
      </w:r>
    </w:p>
    <w:p w14:paraId="30961E17"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4. Übertragbar- und Vererbbarkeit</w:t>
      </w:r>
    </w:p>
    <w:p w14:paraId="30961E18"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Das Widerrufsrecht ist weder vererblich noch übertragbar.</w:t>
      </w:r>
    </w:p>
    <w:p w14:paraId="30961E19"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5. Aufschiebend bedingte Abtretung</w:t>
      </w:r>
    </w:p>
    <w:p w14:paraId="30961E1A"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lastRenderedPageBreak/>
        <w:t>Der betroffene Erwerber tritt dem Empfangsberechtigten gem. Abs. 2. den betroffenen Vertragsgegenstand schon heute dinglich ab, allerdings aufschiebend bedingt. Die Bedingung tritt ein, sobald der Widerrufsberechtigte durch notariell beurkundete Erklärung den Widerruf ausübt. Der Zugang der Erklärung ist für den Eintritt der Bedingung nicht erforderlich. Der Widerrufsberechtigte ist jedoch verpflichtet, dem Erwerber eine Ausfertigung der Notariatsurkunde unverzüglich an die der Gesellschaft zuletzt mitgeteilte Adresse per Einschreiben-Rückschein mitzuteilen. Alle Mitgesellschafter stimmen dieser aufschiebend bedingten Abtretung zu.</w:t>
      </w:r>
    </w:p>
    <w:p w14:paraId="30961E1B"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IX. Notarermächtigung</w:t>
      </w:r>
    </w:p>
    <w:p w14:paraId="30961E1C"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Beteiligten ermächtigen den Notar unter Befreiung von § 181 BGB, sie im Grundbuch- und Handelsregisterverfahren uneingeschränkt zu vertreten</w:t>
      </w:r>
      <w:r w:rsidR="00874EC8">
        <w:rPr>
          <w:rFonts w:ascii="Bembo Std" w:eastAsia="Times New Roman" w:hAnsi="Bembo Std" w:cs="Times New Roman"/>
          <w:kern w:val="8"/>
          <w:sz w:val="17"/>
          <w:szCs w:val="16"/>
        </w:rPr>
        <w:t>,</w:t>
      </w:r>
      <w:r>
        <w:rPr>
          <w:rFonts w:ascii="Bembo Std" w:eastAsia="Times New Roman" w:hAnsi="Bembo Std" w:cs="Times New Roman"/>
          <w:kern w:val="8"/>
          <w:sz w:val="17"/>
          <w:szCs w:val="16"/>
        </w:rPr>
        <w:t xml:space="preserve"> sowie alle zur Wirksamkeit und zum Vollzug zweckdienlichen Erklärungen, insbesondere Bewilligungen abzugeben, einzuholen (auch unter Übersendung von Entwürfen) und entgegenzunehmen. Genehmigungen sollen mit ihrem Eingang beim amtierenden Notar allen Beteiligten gegenüber als zugegangen gelten und rechtswirksam sein. Bei Genehmigungen ohne Einschränkungen wird auf Rechtsmittel verzichtet; andere Bescheide sind den Beteiligten selbst zuzustellen.</w:t>
      </w:r>
    </w:p>
    <w:p w14:paraId="30961E1D"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X. Steuererklärung</w:t>
      </w:r>
    </w:p>
    <w:p w14:paraId="30961E1E"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Die Gesellschaft ist ausschließlich vermögensverwaltend tätig. Aufgrund des vorstehend für die Übergeber bestellten </w:t>
      </w:r>
      <w:proofErr w:type="spellStart"/>
      <w:r>
        <w:rPr>
          <w:rFonts w:ascii="Bembo Std" w:eastAsia="Times New Roman" w:hAnsi="Bembo Std" w:cs="Times New Roman"/>
          <w:kern w:val="8"/>
          <w:sz w:val="17"/>
          <w:szCs w:val="16"/>
        </w:rPr>
        <w:t>Nießbrauchsrechts</w:t>
      </w:r>
      <w:proofErr w:type="spellEnd"/>
      <w:r>
        <w:rPr>
          <w:rFonts w:ascii="Bembo Std" w:eastAsia="Times New Roman" w:hAnsi="Bembo Std" w:cs="Times New Roman"/>
          <w:kern w:val="8"/>
          <w:sz w:val="17"/>
          <w:szCs w:val="16"/>
        </w:rPr>
        <w:t xml:space="preserve"> am eingebrachten Grundbesitz hat die Gesellschaft auf Lebensdauer der Übergeber keine eigenen Einkünfte. Es wird daher beantragt, unverändert die Gewinne ausschließlich bei den Übergebern festzustellen und keine gesonderte Gewinnfeststellung gem. § 180 AO durchzuführen.</w:t>
      </w:r>
    </w:p>
    <w:p w14:paraId="30961E1F"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XI. Keine IHK-Mitgliedschaft</w:t>
      </w:r>
    </w:p>
    <w:p w14:paraId="30961E20"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Beteiligten beauftragen den Notar, eine Abschrift dieser Urkunde der Industrie- und Handelskammer zum Nachweis da</w:t>
      </w:r>
      <w:r w:rsidR="00874EC8">
        <w:rPr>
          <w:rFonts w:ascii="Bembo Std" w:eastAsia="Times New Roman" w:hAnsi="Bembo Std" w:cs="Times New Roman"/>
          <w:kern w:val="8"/>
          <w:sz w:val="17"/>
          <w:szCs w:val="16"/>
        </w:rPr>
        <w:t>rüber</w:t>
      </w:r>
      <w:r>
        <w:rPr>
          <w:rFonts w:ascii="Bembo Std" w:eastAsia="Times New Roman" w:hAnsi="Bembo Std" w:cs="Times New Roman"/>
          <w:kern w:val="8"/>
          <w:sz w:val="17"/>
          <w:szCs w:val="16"/>
        </w:rPr>
        <w:t xml:space="preserve"> zu übersenden, dass aufgrund der Tätigkeit der Gesellschaft im Rahmen der privaten Vermögensverwaltung keine Mitgliedscha</w:t>
      </w:r>
      <w:r w:rsidR="00874EC8">
        <w:rPr>
          <w:rFonts w:ascii="Bembo Std" w:eastAsia="Times New Roman" w:hAnsi="Bembo Std" w:cs="Times New Roman"/>
          <w:kern w:val="8"/>
          <w:sz w:val="17"/>
          <w:szCs w:val="16"/>
        </w:rPr>
        <w:t>f</w:t>
      </w:r>
      <w:r>
        <w:rPr>
          <w:rFonts w:ascii="Bembo Std" w:eastAsia="Times New Roman" w:hAnsi="Bembo Std" w:cs="Times New Roman"/>
          <w:kern w:val="8"/>
          <w:sz w:val="17"/>
          <w:szCs w:val="16"/>
        </w:rPr>
        <w:t>t bei der IHK besteht.</w:t>
      </w:r>
    </w:p>
    <w:p w14:paraId="30961E21"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Beteiligten widersprechen der Übermittlung ihrer Daten nach § 9 Abs. 4 S. 2 IHKG an nicht-öffentliche Stellen. Die Beteiligten widersprechen auch der Speicherung ihrer oben aufgeführten Unternehmensgrunddaten in der zentralen Firmendatenbank der Bayerischen Industrie- und Handelskammer und damit der Veröffentlichung dieser Daten im Internet.</w:t>
      </w:r>
    </w:p>
    <w:p w14:paraId="30961E22"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xml:space="preserve">XII. Eintritt in die Wohnungseigentumsgesellschaft </w:t>
      </w:r>
    </w:p>
    <w:p w14:paraId="30961E23"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 Die Kommanditgesellschaft übernimmt die aus der Teilungserklärung samt Gemeinschaftsordnung sich ergebenden Verpflichtungen, auch soweit diese rein schuldrechtlicher Natur sind.</w:t>
      </w:r>
    </w:p>
    <w:p w14:paraId="30961E24"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 Das Stimmrecht in der Eigentümerversammlung übt der Nießbraucher aus, dem vorsorglich entsprechende Stimmrechtsvollmacht erteilt wird.</w:t>
      </w:r>
    </w:p>
    <w:p w14:paraId="30961E25"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c) Die Kommanditgesellschaft übernimmt die Verpflichtung zur Zahlung des jeweiligen Hausgeldes mit Wirkung vom Tag der Beendigung des Nießbrauchs an.</w:t>
      </w:r>
    </w:p>
    <w:p w14:paraId="30961E26"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d) Die Kommanditgesellschaft verpflichtet sich, nach Beendigung des </w:t>
      </w:r>
      <w:proofErr w:type="spellStart"/>
      <w:r>
        <w:rPr>
          <w:rFonts w:ascii="Bembo Std" w:eastAsia="Times New Roman" w:hAnsi="Bembo Std" w:cs="Times New Roman"/>
          <w:kern w:val="8"/>
          <w:sz w:val="17"/>
          <w:szCs w:val="16"/>
        </w:rPr>
        <w:t>Nießbrauchsrechts</w:t>
      </w:r>
      <w:proofErr w:type="spellEnd"/>
      <w:r>
        <w:rPr>
          <w:rFonts w:ascii="Bembo Std" w:eastAsia="Times New Roman" w:hAnsi="Bembo Std" w:cs="Times New Roman"/>
          <w:kern w:val="8"/>
          <w:sz w:val="17"/>
          <w:szCs w:val="16"/>
        </w:rPr>
        <w:t xml:space="preserve"> anstelle des Übergebers in bestehende Verwaltervereinbarungen einzutreten und in der im Objekt üblichen Weise Verwaltervollmacht zu erteilen.</w:t>
      </w:r>
    </w:p>
    <w:p w14:paraId="30961E27"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e) Die Kommanditgesellschaft lässt alle bisherigen und künftigen Beschlüsse der Wohnungseigentümer gem. § 23 WEG, abweichende Vereinbarungen iSv § 10 WEG und gerichtliche Entscheidungen nach §§ 43 ff. WEG gegen sich gelten.</w:t>
      </w:r>
    </w:p>
    <w:p w14:paraId="30961E28"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Kommanditgesellschaft verpflichtet sich, bei Weiterveräußer</w:t>
      </w:r>
      <w:r w:rsidR="00874EC8">
        <w:rPr>
          <w:rFonts w:ascii="Bembo Std" w:eastAsia="Times New Roman" w:hAnsi="Bembo Std" w:cs="Times New Roman"/>
          <w:kern w:val="8"/>
          <w:sz w:val="17"/>
          <w:szCs w:val="16"/>
        </w:rPr>
        <w:t>ung des Vertragsgegenstand</w:t>
      </w:r>
      <w:r>
        <w:rPr>
          <w:rFonts w:ascii="Bembo Std" w:eastAsia="Times New Roman" w:hAnsi="Bembo Std" w:cs="Times New Roman"/>
          <w:kern w:val="8"/>
          <w:sz w:val="17"/>
          <w:szCs w:val="16"/>
        </w:rPr>
        <w:t>s dem Nacherwerber alle Verpflichtungen aufzuerlegen, welche sich aus der Teilungserklärung samt Gemeinschaftsordnung ergeben.</w:t>
      </w:r>
    </w:p>
    <w:p w14:paraId="30961E29"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XIII. Hinweise</w:t>
      </w:r>
    </w:p>
    <w:p w14:paraId="30961E2A"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Vertragsteile wurden vom Notar hingewiesen auf</w:t>
      </w:r>
    </w:p>
    <w:p w14:paraId="30961E2B"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 den Zeitpunkt und die Voraussetzu</w:t>
      </w:r>
      <w:r w:rsidR="00874EC8">
        <w:rPr>
          <w:rFonts w:ascii="Bembo Std" w:eastAsia="Times New Roman" w:hAnsi="Bembo Std" w:cs="Times New Roman"/>
          <w:kern w:val="8"/>
          <w:sz w:val="17"/>
          <w:szCs w:val="16"/>
        </w:rPr>
        <w:t>ngen des Eigentumsübergang</w:t>
      </w:r>
      <w:r>
        <w:rPr>
          <w:rFonts w:ascii="Bembo Std" w:eastAsia="Times New Roman" w:hAnsi="Bembo Std" w:cs="Times New Roman"/>
          <w:kern w:val="8"/>
          <w:sz w:val="17"/>
          <w:szCs w:val="16"/>
        </w:rPr>
        <w:t>s,</w:t>
      </w:r>
    </w:p>
    <w:p w14:paraId="30961E2C"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 das Erfordernis der vollständigen Beurkundung der getroffenen Vereinbarungen,</w:t>
      </w:r>
    </w:p>
    <w:p w14:paraId="30961E2D"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 xml:space="preserve">c) die </w:t>
      </w:r>
      <w:proofErr w:type="spellStart"/>
      <w:r>
        <w:rPr>
          <w:rFonts w:ascii="Bembo Std" w:eastAsia="Times New Roman" w:hAnsi="Bembo Std" w:cs="Times New Roman"/>
          <w:kern w:val="8"/>
          <w:sz w:val="17"/>
          <w:szCs w:val="16"/>
        </w:rPr>
        <w:t>Schenkungsteuerpflicht</w:t>
      </w:r>
      <w:proofErr w:type="spellEnd"/>
      <w:r>
        <w:rPr>
          <w:rFonts w:ascii="Bembo Std" w:eastAsia="Times New Roman" w:hAnsi="Bembo Std" w:cs="Times New Roman"/>
          <w:kern w:val="8"/>
          <w:sz w:val="17"/>
          <w:szCs w:val="16"/>
        </w:rPr>
        <w:t xml:space="preserve"> gemäß § 7 ErbStG,</w:t>
      </w:r>
    </w:p>
    <w:p w14:paraId="30961E2E"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 die Wirkungen der Pflichtteilsanrechnung,</w:t>
      </w:r>
    </w:p>
    <w:p w14:paraId="30961E2F"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e) die gesamtschuldnerische Haftung der Beteiligten für Kosten und Steuern, unbeschadet der im Innenverhältnis getroffenen Vereinbarungen.</w:t>
      </w:r>
    </w:p>
    <w:p w14:paraId="30961E30"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Ferner hat der Notar vor der Bezahlung der Rechnungen für unbestellte Registereintragungen gewarnt.</w:t>
      </w:r>
    </w:p>
    <w:p w14:paraId="30961E31" w14:textId="77777777" w:rsidR="00754607" w:rsidRPr="00754607" w:rsidRDefault="00754607" w:rsidP="00754607">
      <w:pPr>
        <w:spacing w:after="43"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XIV. Kosten, Ausfertigungen</w:t>
      </w:r>
    </w:p>
    <w:p w14:paraId="30961E32"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Kosten dieser Urkunde und ihres Vollzugs im Grundbuch trägt die Gesellschaft. Eine etwa anfallende Schenkungsteuer trägt jeder Erwerber für seinen Erwerb.</w:t>
      </w:r>
    </w:p>
    <w:p w14:paraId="30961E33"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p>
    <w:p w14:paraId="30961E34"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Von dieser Urkunde erhalten</w:t>
      </w:r>
    </w:p>
    <w:p w14:paraId="30961E35"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u w:val="single"/>
        </w:rPr>
      </w:pPr>
      <w:r>
        <w:rPr>
          <w:rFonts w:ascii="Bembo Std" w:eastAsia="Times New Roman" w:hAnsi="Bembo Std" w:cs="Times New Roman"/>
          <w:kern w:val="8"/>
          <w:sz w:val="17"/>
          <w:szCs w:val="16"/>
          <w:u w:val="single"/>
        </w:rPr>
        <w:t>Beglaubigte Abschriften:</w:t>
      </w:r>
    </w:p>
    <w:p w14:paraId="30961E36"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Grundbuchämter;</w:t>
      </w:r>
    </w:p>
    <w:p w14:paraId="30961E37"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jeder Beteiligte nach Vollzug im Grundbuch;</w:t>
      </w:r>
    </w:p>
    <w:p w14:paraId="30961E38"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u w:val="single"/>
        </w:rPr>
      </w:pPr>
      <w:r>
        <w:rPr>
          <w:rFonts w:ascii="Bembo Std" w:eastAsia="Times New Roman" w:hAnsi="Bembo Std" w:cs="Times New Roman"/>
          <w:kern w:val="8"/>
          <w:sz w:val="17"/>
          <w:szCs w:val="16"/>
          <w:u w:val="single"/>
        </w:rPr>
        <w:t>Einfache Abschriften:</w:t>
      </w:r>
    </w:p>
    <w:p w14:paraId="30961E39"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jeder Beteiligte sofort je eine;</w:t>
      </w:r>
    </w:p>
    <w:p w14:paraId="30961E3A"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das Finanzamt – </w:t>
      </w:r>
      <w:proofErr w:type="spellStart"/>
      <w:r>
        <w:rPr>
          <w:rFonts w:ascii="Bembo Std" w:eastAsia="Times New Roman" w:hAnsi="Bembo Std" w:cs="Times New Roman"/>
          <w:kern w:val="8"/>
          <w:sz w:val="17"/>
          <w:szCs w:val="16"/>
        </w:rPr>
        <w:t>Schenkungsteuerstelle</w:t>
      </w:r>
      <w:proofErr w:type="spellEnd"/>
      <w:r>
        <w:rPr>
          <w:rFonts w:ascii="Bembo Std" w:eastAsia="Times New Roman" w:hAnsi="Bembo Std" w:cs="Times New Roman"/>
          <w:kern w:val="8"/>
          <w:sz w:val="17"/>
          <w:szCs w:val="16"/>
        </w:rPr>
        <w:t xml:space="preserve"> -;</w:t>
      </w:r>
    </w:p>
    <w:p w14:paraId="30961E3B"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Finanzämter – Grunderwerbsteuerstelle -;</w:t>
      </w:r>
    </w:p>
    <w:p w14:paraId="30961E3C"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das Finanzamt – Einkommensteuerstelle – unter Hinweis auf Abschnitt X.;</w:t>
      </w:r>
    </w:p>
    <w:p w14:paraId="30961E3D"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Steuerberater der Gesellschaft;</w:t>
      </w:r>
    </w:p>
    <w:p w14:paraId="30961E3E"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IHK zum Nachweis, dass kei</w:t>
      </w:r>
      <w:r w:rsidR="00874EC8">
        <w:rPr>
          <w:rFonts w:ascii="Bembo Std" w:eastAsia="Times New Roman" w:hAnsi="Bembo Std" w:cs="Times New Roman"/>
          <w:kern w:val="8"/>
          <w:sz w:val="17"/>
          <w:szCs w:val="16"/>
        </w:rPr>
        <w:t>ne Kammermitgliedschaft besteht;</w:t>
      </w:r>
    </w:p>
    <w:p w14:paraId="30961E3F"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Grundpfandrechtsglä</w:t>
      </w:r>
      <w:r w:rsidR="00874EC8">
        <w:rPr>
          <w:rFonts w:ascii="Bembo Std" w:eastAsia="Times New Roman" w:hAnsi="Bembo Std" w:cs="Times New Roman"/>
          <w:kern w:val="8"/>
          <w:sz w:val="17"/>
          <w:szCs w:val="16"/>
        </w:rPr>
        <w:t>ubiger zu Händen des Übergebers;</w:t>
      </w:r>
    </w:p>
    <w:p w14:paraId="30961E40"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der Verwalter des </w:t>
      </w:r>
      <w:r w:rsidR="00874EC8">
        <w:rPr>
          <w:rFonts w:ascii="Bembo Std" w:eastAsia="Times New Roman" w:hAnsi="Bembo Std" w:cs="Times New Roman"/>
          <w:kern w:val="8"/>
          <w:sz w:val="17"/>
          <w:szCs w:val="16"/>
        </w:rPr>
        <w:t>Anwesens A-Weg – auszugsweise -.</w:t>
      </w:r>
    </w:p>
    <w:p w14:paraId="30961E41"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p>
    <w:p w14:paraId="30961E42"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p>
    <w:p w14:paraId="30961E43"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Samt Anlagen I und II vorgelesen vom Notar (…)</w:t>
      </w:r>
    </w:p>
    <w:p w14:paraId="30961E44" w14:textId="77777777" w:rsidR="00754607" w:rsidRPr="00754607" w:rsidRDefault="00754607" w:rsidP="00754607">
      <w:pPr>
        <w:spacing w:after="0" w:line="106" w:lineRule="exact"/>
        <w:ind w:firstLine="193"/>
        <w:jc w:val="both"/>
        <w:rPr>
          <w:rFonts w:ascii="Bembo Std" w:eastAsia="Times New Roman" w:hAnsi="Bembo Std" w:cs="Times New Roman"/>
          <w:kern w:val="8"/>
          <w:sz w:val="19"/>
          <w:szCs w:val="20"/>
        </w:rPr>
      </w:pPr>
    </w:p>
    <w:p w14:paraId="30961E45" w14:textId="77777777" w:rsidR="00754607" w:rsidRPr="00754607" w:rsidRDefault="00754607" w:rsidP="00754607">
      <w:pPr>
        <w:spacing w:after="0" w:line="192" w:lineRule="exact"/>
        <w:jc w:val="center"/>
        <w:rPr>
          <w:rFonts w:ascii="Bembo Std" w:eastAsia="Times New Roman" w:hAnsi="Bembo Std" w:cs="Times New Roman"/>
          <w:b/>
          <w:kern w:val="8"/>
          <w:sz w:val="17"/>
          <w:szCs w:val="16"/>
        </w:rPr>
      </w:pPr>
      <w:r>
        <w:rPr>
          <w:rFonts w:ascii="Bembo Std" w:eastAsia="Times New Roman" w:hAnsi="Bembo Std" w:cs="Times New Roman"/>
          <w:b/>
          <w:kern w:val="8"/>
          <w:sz w:val="17"/>
          <w:szCs w:val="16"/>
        </w:rPr>
        <w:t>Anlage I</w:t>
      </w:r>
    </w:p>
    <w:p w14:paraId="30961E46" w14:textId="77777777" w:rsidR="00754607" w:rsidRPr="00754607" w:rsidRDefault="00754607" w:rsidP="00754607">
      <w:pPr>
        <w:spacing w:after="43" w:line="192" w:lineRule="exact"/>
        <w:jc w:val="center"/>
        <w:rPr>
          <w:rFonts w:ascii="Bembo Std" w:eastAsia="Times New Roman" w:hAnsi="Bembo Std" w:cs="Times New Roman"/>
          <w:b/>
          <w:kern w:val="8"/>
          <w:sz w:val="17"/>
          <w:szCs w:val="16"/>
        </w:rPr>
      </w:pPr>
      <w:r>
        <w:rPr>
          <w:rFonts w:ascii="Bembo Std" w:eastAsia="Times New Roman" w:hAnsi="Bembo Std" w:cs="Times New Roman"/>
          <w:b/>
          <w:kern w:val="8"/>
          <w:sz w:val="17"/>
          <w:szCs w:val="16"/>
        </w:rPr>
        <w:t>Grundbesitz</w:t>
      </w:r>
    </w:p>
    <w:p w14:paraId="30961E47"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proofErr w:type="spellStart"/>
      <w:r>
        <w:rPr>
          <w:rFonts w:ascii="Bembo Std" w:eastAsia="Times New Roman" w:hAnsi="Bembo Std" w:cs="Times New Roman"/>
          <w:kern w:val="8"/>
          <w:sz w:val="17"/>
          <w:szCs w:val="16"/>
        </w:rPr>
        <w:t>Flst</w:t>
      </w:r>
      <w:proofErr w:type="spellEnd"/>
      <w:r>
        <w:rPr>
          <w:rFonts w:ascii="Bembo Std" w:eastAsia="Times New Roman" w:hAnsi="Bembo Std" w:cs="Times New Roman"/>
          <w:kern w:val="8"/>
          <w:sz w:val="17"/>
          <w:szCs w:val="16"/>
        </w:rPr>
        <w:t xml:space="preserve">. </w:t>
      </w:r>
      <w:proofErr w:type="spellStart"/>
      <w:r>
        <w:rPr>
          <w:rFonts w:ascii="Bembo Std" w:eastAsia="Times New Roman" w:hAnsi="Bembo Std" w:cs="Times New Roman"/>
          <w:kern w:val="8"/>
          <w:sz w:val="17"/>
          <w:szCs w:val="16"/>
        </w:rPr>
        <w:t>Nr</w:t>
      </w:r>
      <w:proofErr w:type="spellEnd"/>
      <w:r>
        <w:rPr>
          <w:rFonts w:ascii="Bembo Std" w:eastAsia="Times New Roman" w:hAnsi="Bembo Std" w:cs="Times New Roman"/>
          <w:kern w:val="8"/>
          <w:sz w:val="17"/>
          <w:szCs w:val="16"/>
        </w:rPr>
        <w:t>\. (…) der Gemarkung (…)</w:t>
      </w:r>
    </w:p>
    <w:p w14:paraId="30961E48"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vorgetragen im Grundbuch des Amtsgerichts (…)</w:t>
      </w:r>
    </w:p>
    <w:p w14:paraId="30961E49" w14:textId="77777777" w:rsidR="00754607" w:rsidRPr="00754607" w:rsidRDefault="00754607" w:rsidP="00754607">
      <w:pPr>
        <w:spacing w:after="0" w:line="106" w:lineRule="exact"/>
        <w:ind w:firstLine="193"/>
        <w:jc w:val="both"/>
        <w:rPr>
          <w:rFonts w:ascii="Bembo Std" w:eastAsia="Times New Roman" w:hAnsi="Bembo Std" w:cs="Times New Roman"/>
          <w:kern w:val="8"/>
          <w:sz w:val="19"/>
          <w:szCs w:val="20"/>
        </w:rPr>
      </w:pPr>
    </w:p>
    <w:p w14:paraId="30961E4A" w14:textId="77777777" w:rsidR="00754607" w:rsidRPr="00754607" w:rsidRDefault="00754607" w:rsidP="00754607">
      <w:pPr>
        <w:spacing w:after="0" w:line="192" w:lineRule="exact"/>
        <w:jc w:val="center"/>
        <w:rPr>
          <w:rFonts w:ascii="Bembo Std" w:eastAsia="Times New Roman" w:hAnsi="Bembo Std" w:cs="Times New Roman"/>
          <w:b/>
          <w:kern w:val="8"/>
          <w:sz w:val="17"/>
          <w:szCs w:val="16"/>
        </w:rPr>
      </w:pPr>
      <w:r>
        <w:rPr>
          <w:rFonts w:ascii="Bembo Std" w:eastAsia="Times New Roman" w:hAnsi="Bembo Std" w:cs="Times New Roman"/>
          <w:b/>
          <w:kern w:val="8"/>
          <w:sz w:val="17"/>
          <w:szCs w:val="16"/>
        </w:rPr>
        <w:t>Anlage II</w:t>
      </w:r>
    </w:p>
    <w:p w14:paraId="30961E4B" w14:textId="77777777" w:rsidR="00754607" w:rsidRPr="00754607" w:rsidRDefault="00754607" w:rsidP="00754607">
      <w:pPr>
        <w:spacing w:after="43" w:line="192" w:lineRule="exact"/>
        <w:jc w:val="center"/>
        <w:rPr>
          <w:rFonts w:ascii="Bembo Std" w:eastAsia="Times New Roman" w:hAnsi="Bembo Std" w:cs="Times New Roman"/>
          <w:b/>
          <w:kern w:val="8"/>
          <w:sz w:val="17"/>
          <w:szCs w:val="16"/>
        </w:rPr>
      </w:pPr>
      <w:r>
        <w:rPr>
          <w:rFonts w:ascii="Bembo Std" w:eastAsia="Times New Roman" w:hAnsi="Bembo Std" w:cs="Times New Roman"/>
          <w:b/>
          <w:kern w:val="8"/>
          <w:sz w:val="17"/>
          <w:szCs w:val="16"/>
        </w:rPr>
        <w:t>Gesellschaftsvertrag</w:t>
      </w:r>
    </w:p>
    <w:p w14:paraId="30961E4C"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 Firma, Sitz</w:t>
      </w:r>
    </w:p>
    <w:p w14:paraId="30961E4D"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Firma der Gesellschaft lautet:</w:t>
      </w:r>
    </w:p>
    <w:p w14:paraId="30961E4E" w14:textId="77777777" w:rsidR="00754607" w:rsidRPr="00754607" w:rsidRDefault="00754607" w:rsidP="00754607">
      <w:pPr>
        <w:spacing w:after="0" w:line="192" w:lineRule="exact"/>
        <w:jc w:val="center"/>
        <w:rPr>
          <w:rFonts w:ascii="Bembo Std" w:eastAsia="Times New Roman" w:hAnsi="Bembo Std" w:cs="Times New Roman"/>
          <w:kern w:val="8"/>
          <w:sz w:val="17"/>
          <w:szCs w:val="16"/>
        </w:rPr>
      </w:pPr>
      <w:r>
        <w:rPr>
          <w:rFonts w:ascii="Bembo Std" w:eastAsia="Times New Roman" w:hAnsi="Bembo Std" w:cs="Times New Roman"/>
          <w:kern w:val="8"/>
          <w:sz w:val="17"/>
          <w:szCs w:val="16"/>
        </w:rPr>
        <w:t>E Immo KG</w:t>
      </w:r>
    </w:p>
    <w:p w14:paraId="30961E4F"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Sitz der Gesellschaft ist Adorf.</w:t>
      </w:r>
    </w:p>
    <w:p w14:paraId="30961E50"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2 Zweck der Gesellschaft</w:t>
      </w:r>
    </w:p>
    <w:p w14:paraId="30961E51"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Zweck der Gesellschaft ist die Verwaltung von eigenem Vermögen, insbesondere von Grundbesitz.</w:t>
      </w:r>
    </w:p>
    <w:p w14:paraId="30961E52"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3 Dauer der Gesellschaft</w:t>
      </w:r>
    </w:p>
    <w:p w14:paraId="30961E53"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Dauer der Gesellschaft ist unbestimmt. Die Gesellschaft beginnt als Kommanditgesellschaft erst mit ihrer Eintragung im Handelsregister.</w:t>
      </w:r>
    </w:p>
    <w:p w14:paraId="30961E54"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Jeder Gesellschafter kann die Gesellschaft mit einer Frist von einem halben Jahr zum darauf folgenden Jahresende kündigen, frühestens zum 31.12.2048.</w:t>
      </w:r>
    </w:p>
    <w:p w14:paraId="30961E55"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4 Gesellschafter</w:t>
      </w:r>
    </w:p>
    <w:p w14:paraId="30961E56"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1.</w:t>
      </w:r>
      <w:r w:rsidRPr="00754607">
        <w:rPr>
          <w:rFonts w:ascii="Bembo Std" w:eastAsia="Times New Roman" w:hAnsi="Bembo Std" w:cs="Times New Roman"/>
          <w:kern w:val="8"/>
          <w:sz w:val="17"/>
          <w:szCs w:val="16"/>
        </w:rPr>
        <w:tab/>
        <w:t>Persönlich haftende Gesellschafter (Komplementäre) sind die Ehegatten E mit einem Gesellschaftsanteil in Höhe von jeweils 10 %.</w:t>
      </w:r>
    </w:p>
    <w:p w14:paraId="30961E57"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b/>
        <w:t>2.</w:t>
      </w:r>
      <w:r>
        <w:rPr>
          <w:rFonts w:ascii="Bembo Std" w:eastAsia="Times New Roman" w:hAnsi="Bembo Std" w:cs="Times New Roman"/>
          <w:kern w:val="8"/>
          <w:sz w:val="17"/>
          <w:szCs w:val="16"/>
        </w:rPr>
        <w:tab/>
        <w:t>Kommanditisten sind deren Kinder ES und ET mit einer Kommanditeinlage in Höhe von je 40.000 EUR, die einer Beteiligung von jeweils 40 % entspricht.</w:t>
      </w:r>
    </w:p>
    <w:p w14:paraId="30961E58"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3.</w:t>
      </w:r>
      <w:r w:rsidRPr="00754607">
        <w:rPr>
          <w:rFonts w:ascii="Bembo Std" w:eastAsia="Times New Roman" w:hAnsi="Bembo Std" w:cs="Times New Roman"/>
          <w:kern w:val="8"/>
          <w:sz w:val="17"/>
          <w:szCs w:val="16"/>
        </w:rPr>
        <w:tab/>
        <w:t>Die Einlagen sind durch die Einbringung des Grundbesitzes der Ehegatten E in die Gesellschaft erbracht.</w:t>
      </w:r>
    </w:p>
    <w:p w14:paraId="30961E59" w14:textId="77777777" w:rsidR="00754607" w:rsidRPr="00754607" w:rsidRDefault="00754607" w:rsidP="00754607">
      <w:pPr>
        <w:tabs>
          <w:tab w:val="right" w:pos="131"/>
        </w:tabs>
        <w:spacing w:after="43"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4.</w:t>
      </w:r>
      <w:r w:rsidRPr="00754607">
        <w:rPr>
          <w:rFonts w:ascii="Bembo Std" w:eastAsia="Times New Roman" w:hAnsi="Bembo Std" w:cs="Times New Roman"/>
          <w:kern w:val="8"/>
          <w:sz w:val="17"/>
          <w:szCs w:val="16"/>
        </w:rPr>
        <w:tab/>
        <w:t>Die Gesellschaftsanteile sind unveränderlich, so dass sich der Anteil eines jeden Gesellschafters insbesondere nicht durch Gewinne oder Verluste, Einlagen oder Entnahmen verändert.</w:t>
      </w:r>
    </w:p>
    <w:p w14:paraId="30961E5A"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5 Vertretung und Geschäftsführung</w:t>
      </w:r>
    </w:p>
    <w:p w14:paraId="30961E5B"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1.</w:t>
      </w:r>
      <w:r w:rsidRPr="00754607">
        <w:rPr>
          <w:rFonts w:ascii="Bembo Std" w:eastAsia="Times New Roman" w:hAnsi="Bembo Std" w:cs="Times New Roman"/>
          <w:kern w:val="8"/>
          <w:sz w:val="17"/>
          <w:szCs w:val="16"/>
        </w:rPr>
        <w:tab/>
        <w:t>Die Gesellschaft wird kraft Ge</w:t>
      </w:r>
      <w:r w:rsidR="00874EC8">
        <w:rPr>
          <w:rFonts w:ascii="Bembo Std" w:eastAsia="Times New Roman" w:hAnsi="Bembo Std" w:cs="Times New Roman"/>
          <w:kern w:val="8"/>
          <w:sz w:val="17"/>
          <w:szCs w:val="16"/>
        </w:rPr>
        <w:t>setzes von den</w:t>
      </w:r>
      <w:r w:rsidRPr="00754607">
        <w:rPr>
          <w:rFonts w:ascii="Bembo Std" w:eastAsia="Times New Roman" w:hAnsi="Bembo Std" w:cs="Times New Roman"/>
          <w:kern w:val="8"/>
          <w:sz w:val="17"/>
          <w:szCs w:val="16"/>
        </w:rPr>
        <w:t xml:space="preserve"> Komplementäre</w:t>
      </w:r>
      <w:r w:rsidR="00874EC8">
        <w:rPr>
          <w:rFonts w:ascii="Bembo Std" w:eastAsia="Times New Roman" w:hAnsi="Bembo Std" w:cs="Times New Roman"/>
          <w:kern w:val="8"/>
          <w:sz w:val="17"/>
          <w:szCs w:val="16"/>
        </w:rPr>
        <w:t>n, den</w:t>
      </w:r>
      <w:r w:rsidRPr="00754607">
        <w:rPr>
          <w:rFonts w:ascii="Bembo Std" w:eastAsia="Times New Roman" w:hAnsi="Bembo Std" w:cs="Times New Roman"/>
          <w:kern w:val="8"/>
          <w:sz w:val="17"/>
          <w:szCs w:val="16"/>
        </w:rPr>
        <w:t xml:space="preserve"> Ehegatten E, vertreten. Jeder Komplementär ist befugt, Rechtsgeschäfte mit sich selbst im eigenen Namen oder als Vertreter eines Dritten vorzunehmen. Jeder Komplementär vertritt die Gesellschaft einzeln. Die Kommanditisten sind von der Geschäftsführung ausgeschlossen.</w:t>
      </w:r>
    </w:p>
    <w:p w14:paraId="30961E5C"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2.</w:t>
      </w:r>
      <w:r w:rsidRPr="00754607">
        <w:rPr>
          <w:rFonts w:ascii="Bembo Std" w:eastAsia="Times New Roman" w:hAnsi="Bembo Std" w:cs="Times New Roman"/>
          <w:kern w:val="8"/>
          <w:sz w:val="17"/>
          <w:szCs w:val="16"/>
        </w:rPr>
        <w:tab/>
        <w:t>Bei der Auflösung der Gesellschaft sind die zu diesem Zeitpunkt vorhandenen Komplementäre als Liquidatoren berufen, mehrere als Gesamtvertretungsberechtigte.</w:t>
      </w:r>
    </w:p>
    <w:p w14:paraId="30961E5D" w14:textId="77777777" w:rsidR="00754607" w:rsidRPr="00754607" w:rsidRDefault="00754607" w:rsidP="00754607">
      <w:pPr>
        <w:tabs>
          <w:tab w:val="right" w:pos="131"/>
        </w:tabs>
        <w:spacing w:after="43"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3.</w:t>
      </w:r>
      <w:r w:rsidRPr="00754607">
        <w:rPr>
          <w:rFonts w:ascii="Bembo Std" w:eastAsia="Times New Roman" w:hAnsi="Bembo Std" w:cs="Times New Roman"/>
          <w:kern w:val="8"/>
          <w:sz w:val="17"/>
          <w:szCs w:val="16"/>
        </w:rPr>
        <w:tab/>
        <w:t>Jeder Komplementär wird unwiderruflich bevollmächtigt, Anmeldungen zum Handelsregister jeder Art auch für die Kommanditisten vorzunehmen und in diesem Zusammenhang sämtliche Erklärungen abzugeben und entgegenzunehmen, befreit von den Beschränkungen des § 181 BGB. Die Vollmacht erlischt nicht durch das Ableben des jeweiligen Vollmachtgebers.</w:t>
      </w:r>
    </w:p>
    <w:p w14:paraId="30961E5E"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6 Gewinn- und Verlustverteilung</w:t>
      </w:r>
    </w:p>
    <w:p w14:paraId="30961E5F"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1.</w:t>
      </w:r>
      <w:r w:rsidRPr="00754607">
        <w:rPr>
          <w:rFonts w:ascii="Bembo Std" w:eastAsia="Times New Roman" w:hAnsi="Bembo Std" w:cs="Times New Roman"/>
          <w:kern w:val="8"/>
          <w:sz w:val="17"/>
          <w:szCs w:val="16"/>
        </w:rPr>
        <w:tab/>
        <w:t>Es werden nur die zur Erfüllung der steuerlichen Pflichten erforderlichen Konten geführt.</w:t>
      </w:r>
    </w:p>
    <w:p w14:paraId="30961E60" w14:textId="77777777" w:rsidR="00754607" w:rsidRPr="00754607" w:rsidRDefault="00754607" w:rsidP="00754607">
      <w:pPr>
        <w:tabs>
          <w:tab w:val="right" w:pos="131"/>
        </w:tabs>
        <w:spacing w:after="43"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2.</w:t>
      </w:r>
      <w:r w:rsidRPr="00754607">
        <w:rPr>
          <w:rFonts w:ascii="Bembo Std" w:eastAsia="Times New Roman" w:hAnsi="Bembo Std" w:cs="Times New Roman"/>
          <w:kern w:val="8"/>
          <w:sz w:val="17"/>
          <w:szCs w:val="16"/>
        </w:rPr>
        <w:tab/>
        <w:t>Die Gewinn- und Verlustverteilung erfolgt im Verhältnis der Beteiligungsquoten.</w:t>
      </w:r>
    </w:p>
    <w:p w14:paraId="30961E61"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7 Gesellschafterbeschlüsse</w:t>
      </w:r>
    </w:p>
    <w:p w14:paraId="30961E62"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Die Gesellschafter entscheiden über die ihnen nach dem Gesetz oder diesem Gesellschaftsvertrag zugewiesenen Angelegenheiten durch einstimmigen Beschluss, soweit in diesem Gesellschaftsvertrag nicht eine andere Mehrheit vorgesehen ist.</w:t>
      </w:r>
    </w:p>
    <w:p w14:paraId="30961E63"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Einem Nießbraucher eines Gesellschaftsanteils kann das Recht zur Ausübung des Stimmrechts für den betroffenen Gesellschafter übertragen werden.</w:t>
      </w:r>
    </w:p>
    <w:p w14:paraId="30961E64"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8 Überschussrechnung; Entnahmen</w:t>
      </w:r>
    </w:p>
    <w:p w14:paraId="30961E65" w14:textId="77777777" w:rsidR="00754607" w:rsidRPr="00754607" w:rsidRDefault="00754607" w:rsidP="00754607">
      <w:pPr>
        <w:spacing w:after="1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Ermittlung der Einkünfte der Gesellschaft erfolgt durch Einnahme-/Wer</w:t>
      </w:r>
      <w:r w:rsidRPr="00754607">
        <w:rPr>
          <w:rFonts w:ascii="Bembo Std" w:eastAsia="Times New Roman" w:hAnsi="Bembo Std" w:cs="Times New Roman"/>
          <w:kern w:val="8"/>
          <w:sz w:val="17"/>
          <w:szCs w:val="16"/>
        </w:rPr>
        <w:softHyphen/>
        <w:t>bungs</w:t>
      </w:r>
      <w:r w:rsidRPr="00754607">
        <w:rPr>
          <w:rFonts w:ascii="Bembo Std" w:eastAsia="Times New Roman" w:hAnsi="Bembo Std" w:cs="Times New Roman"/>
          <w:kern w:val="8"/>
          <w:sz w:val="17"/>
          <w:szCs w:val="16"/>
        </w:rPr>
        <w:softHyphen/>
        <w:t>kosten-/Überschussrechnung.</w:t>
      </w:r>
    </w:p>
    <w:p w14:paraId="30961E66" w14:textId="77777777" w:rsidR="00754607" w:rsidRPr="00754607" w:rsidRDefault="00754607" w:rsidP="00754607">
      <w:pPr>
        <w:spacing w:after="1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Entnahmen sind nur zulässig, wenn die Gesellschafterversammlung dies mit einfacher Mehrheit beschließt oder soweit sie zur Begleichung der aus der Beteiligung resultierenden Steuerverbindlichkeiten dienen.</w:t>
      </w:r>
    </w:p>
    <w:p w14:paraId="30961E67"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9 Ausscheiden eines Gesellschafters</w:t>
      </w:r>
    </w:p>
    <w:p w14:paraId="30961E68"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1.</w:t>
      </w:r>
      <w:r w:rsidRPr="00754607">
        <w:rPr>
          <w:rFonts w:ascii="Bembo Std" w:eastAsia="Times New Roman" w:hAnsi="Bembo Std" w:cs="Times New Roman"/>
          <w:kern w:val="8"/>
          <w:sz w:val="17"/>
          <w:szCs w:val="16"/>
        </w:rPr>
        <w:tab/>
        <w:t>Bei Kündigung der Gesellschaft sowie bei Ausschließung oder Insolvenz eines Gesellschafters wird die Gesellschaft nicht aufgelöst, sondern – nach Ausscheiden des betroffenen Gesellschafters – von den übrigen Gesellschaftern fortgesetzt.</w:t>
      </w:r>
    </w:p>
    <w:p w14:paraId="30961E69" w14:textId="77777777" w:rsidR="00754607" w:rsidRPr="00754607" w:rsidRDefault="00754607" w:rsidP="00754607">
      <w:pPr>
        <w:tabs>
          <w:tab w:val="right" w:pos="131"/>
        </w:tabs>
        <w:spacing w:after="30" w:line="192" w:lineRule="exact"/>
        <w:ind w:left="187" w:hanging="187"/>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2.</w:t>
      </w:r>
      <w:r w:rsidRPr="00754607">
        <w:rPr>
          <w:rFonts w:ascii="Bembo Std" w:eastAsia="Times New Roman" w:hAnsi="Bembo Std" w:cs="Times New Roman"/>
          <w:kern w:val="8"/>
          <w:sz w:val="17"/>
          <w:szCs w:val="16"/>
        </w:rPr>
        <w:tab/>
        <w:t>Besteht die Gesellschaft nur aus zwei Gesellschaftern und scheidet einer von ihnen aus oder scheiden gleichzeitig mehrere Gesellschafter aus, so dass nur ein Gesellschafter übrig bleibt, so steht dem verbleibenden Gesellschafter ein Übernahmerecht zu, das gegenüber den Ausscheidenden durch rechtsgestaltende Willenserklärung auszuüben ist. Macht der verbleibende Gesellschafter von seinem Übernahmerecht Gebrauch, so wächst das Gesellschaftsvermögen dem Übernehmenden ohne Einzelübertragung an; die Ausscheidenden sind gem. § 11 abzufinden.</w:t>
      </w:r>
    </w:p>
    <w:p w14:paraId="30961E6A"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10 Ausschließung</w:t>
      </w:r>
    </w:p>
    <w:p w14:paraId="30961E6B"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1.</w:t>
      </w:r>
      <w:r w:rsidRPr="00754607">
        <w:rPr>
          <w:rFonts w:ascii="Bembo Std" w:eastAsia="Times New Roman" w:hAnsi="Bembo Std" w:cs="Times New Roman"/>
          <w:kern w:val="8"/>
          <w:sz w:val="17"/>
          <w:szCs w:val="16"/>
        </w:rPr>
        <w:tab/>
        <w:t>Wird über das Vermögen eines Gesellschafters das Insolvenzverfahren eröffnet oder wird die Zwangsvollstreckung in sein Auseinandersetzungsguthaben oder ein sonstiges Gesellschafterrecht betrieben, so können die übrigen Gesellschafter seinen Ausschluss aus der Gesellschaft beschließen. Der Ausschluss wird mit der Bekanntgabe des Beschlusses, im Falle der Einzelzwangsvollstreckung jedoch erst drei Monate nach Bekanntgabe des Beschlusses wirksam, es sei denn, dass der betroffene Gesellschafter bis dahin die eingeleiteten Vollstreckungsmaßnahmen abgewendet hat.</w:t>
      </w:r>
    </w:p>
    <w:p w14:paraId="30961E6C"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r>
      <w:r>
        <w:rPr>
          <w:rFonts w:ascii="Bembo Std" w:eastAsia="Times New Roman" w:hAnsi="Bembo Std" w:cs="Times New Roman"/>
          <w:kern w:val="8"/>
          <w:sz w:val="17"/>
          <w:szCs w:val="16"/>
        </w:rPr>
        <w:t>2.</w:t>
      </w:r>
      <w:r>
        <w:rPr>
          <w:rFonts w:ascii="Bembo Std" w:eastAsia="Times New Roman" w:hAnsi="Bembo Std" w:cs="Times New Roman"/>
          <w:kern w:val="8"/>
          <w:sz w:val="17"/>
          <w:szCs w:val="16"/>
        </w:rPr>
        <w:tab/>
        <w:t xml:space="preserve">Sofern ein Gesellschafter mit seinem (künftigen) Ehegatten nicht Gütertrennung nach Maßgabe der Bestimmungen des BGB oder nicht modifizierte Zugewinngemeinschaft mit dem Inhalt vereinbart, dass der Gesellschaftsanteil aus einem Zugewinnausgleich im Fall des </w:t>
      </w:r>
      <w:proofErr w:type="spellStart"/>
      <w:r>
        <w:rPr>
          <w:rFonts w:ascii="Bembo Std" w:eastAsia="Times New Roman" w:hAnsi="Bembo Std" w:cs="Times New Roman"/>
          <w:kern w:val="8"/>
          <w:sz w:val="17"/>
          <w:szCs w:val="16"/>
        </w:rPr>
        <w:t>Güterstandswechsels</w:t>
      </w:r>
      <w:proofErr w:type="spellEnd"/>
      <w:r>
        <w:rPr>
          <w:rFonts w:ascii="Bembo Std" w:eastAsia="Times New Roman" w:hAnsi="Bembo Std" w:cs="Times New Roman"/>
          <w:kern w:val="8"/>
          <w:sz w:val="17"/>
          <w:szCs w:val="16"/>
        </w:rPr>
        <w:t>, insbesondere der Scheidung der Ehe und aufgrund eines gesonderten Pflichtteilsverzichts</w:t>
      </w:r>
      <w:r w:rsidR="00874EC8">
        <w:rPr>
          <w:rFonts w:ascii="Bembo Std" w:eastAsia="Times New Roman" w:hAnsi="Bembo Std" w:cs="Times New Roman"/>
          <w:kern w:val="8"/>
          <w:sz w:val="17"/>
          <w:szCs w:val="16"/>
        </w:rPr>
        <w:t>,</w:t>
      </w:r>
      <w:r>
        <w:rPr>
          <w:rFonts w:ascii="Bembo Std" w:eastAsia="Times New Roman" w:hAnsi="Bembo Std" w:cs="Times New Roman"/>
          <w:kern w:val="8"/>
          <w:sz w:val="17"/>
          <w:szCs w:val="16"/>
        </w:rPr>
        <w:t xml:space="preserve"> aus dem Pflichtteilsrecht des überlebenden Ehegatten ausgenommen wird, kann die Gesellschaft ebenfalls nach vorheriger fruchtloser Fristsetzung mit einer Frist von einem Monat zur Nachholung dieser Vereinbarungen die Ausschließung des betroffenen Gesellschafters verlangen.</w:t>
      </w:r>
    </w:p>
    <w:p w14:paraId="30961E6D" w14:textId="77777777" w:rsidR="00754607" w:rsidRPr="00754607" w:rsidRDefault="00754607" w:rsidP="00754607">
      <w:pPr>
        <w:tabs>
          <w:tab w:val="right" w:pos="131"/>
        </w:tabs>
        <w:spacing w:after="64"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lastRenderedPageBreak/>
        <w:tab/>
        <w:t>3.</w:t>
      </w:r>
      <w:r w:rsidRPr="00754607">
        <w:rPr>
          <w:rFonts w:ascii="Bembo Std" w:eastAsia="Times New Roman" w:hAnsi="Bembo Std" w:cs="Times New Roman"/>
          <w:kern w:val="8"/>
          <w:sz w:val="17"/>
          <w:szCs w:val="16"/>
        </w:rPr>
        <w:tab/>
        <w:t>Im Übrigen kann ein Gesellschafter ausgeschlossen werden, wenn hierzu ein wichtiger Grund vorliegt, dh wenn der Gesellschafter durch sein Verhalten die Gesellschaftsinteressen schädigt oder wenn aufgrund seines Verhaltens den übrigen Gesellschaftern die Fortsetzung der Gesellschaft mit ihm nicht mehr zugemutet werden kann.</w:t>
      </w:r>
    </w:p>
    <w:p w14:paraId="30961E6E" w14:textId="77777777" w:rsidR="00754607" w:rsidRPr="00754607" w:rsidRDefault="00874EC8" w:rsidP="00754607">
      <w:pPr>
        <w:tabs>
          <w:tab w:val="right" w:pos="131"/>
        </w:tabs>
        <w:spacing w:after="64"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4.</w:t>
      </w:r>
      <w:r>
        <w:rPr>
          <w:rFonts w:ascii="Bembo Std" w:eastAsia="Times New Roman" w:hAnsi="Bembo Std" w:cs="Times New Roman"/>
          <w:kern w:val="8"/>
          <w:sz w:val="17"/>
          <w:szCs w:val="16"/>
        </w:rPr>
        <w:tab/>
      </w:r>
      <w:r>
        <w:rPr>
          <w:rFonts w:ascii="Bembo Std" w:eastAsia="Times New Roman" w:hAnsi="Bembo Std" w:cs="Times New Roman"/>
          <w:kern w:val="8"/>
          <w:sz w:val="17"/>
          <w:szCs w:val="16"/>
        </w:rPr>
        <w:tab/>
      </w:r>
      <w:r w:rsidR="00754607">
        <w:rPr>
          <w:rFonts w:ascii="Bembo Std" w:eastAsia="Times New Roman" w:hAnsi="Bembo Std" w:cs="Times New Roman"/>
          <w:kern w:val="8"/>
          <w:sz w:val="17"/>
          <w:szCs w:val="16"/>
        </w:rPr>
        <w:t>Der ausgeschlossene Gesellschafter erhält eine Abfindung gem. § 11.</w:t>
      </w:r>
    </w:p>
    <w:p w14:paraId="30961E6F"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11 Abfindung</w:t>
      </w:r>
    </w:p>
    <w:p w14:paraId="30961E70" w14:textId="77777777" w:rsidR="00754607" w:rsidRPr="00754607" w:rsidRDefault="00754607" w:rsidP="00754607">
      <w:pPr>
        <w:numPr>
          <w:ilvl w:val="0"/>
          <w:numId w:val="3"/>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Abfindungsbetrag wird in den in diesem Vertrag vorgesehenen Fällen von dem für die Gesellschaft tätigen Steuerbe</w:t>
      </w:r>
      <w:r w:rsidR="00874EC8">
        <w:rPr>
          <w:rFonts w:ascii="Bembo Std" w:eastAsia="Times New Roman" w:hAnsi="Bembo Std" w:cs="Times New Roman"/>
          <w:kern w:val="8"/>
          <w:sz w:val="17"/>
          <w:szCs w:val="16"/>
        </w:rPr>
        <w:t>rater als Schiedsgutachter gem.</w:t>
      </w:r>
      <w:r>
        <w:rPr>
          <w:rFonts w:ascii="Bembo Std" w:eastAsia="Times New Roman" w:hAnsi="Bembo Std" w:cs="Times New Roman"/>
          <w:kern w:val="8"/>
          <w:sz w:val="17"/>
          <w:szCs w:val="16"/>
        </w:rPr>
        <w:t xml:space="preserve"> § 317 Abs. 1 BGB auf den Tag des Ausscheidens nach folgender Maßgabe ermittelt:</w:t>
      </w:r>
    </w:p>
    <w:p w14:paraId="30961E71" w14:textId="77777777" w:rsidR="00754607" w:rsidRPr="00754607" w:rsidRDefault="00754607" w:rsidP="00754607">
      <w:pPr>
        <w:numPr>
          <w:ilvl w:val="0"/>
          <w:numId w:val="4"/>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Immobilien aller Art werden mit dem Verkehrswert angesetzt, über dessen Höhe im Streitfall ein von dem nach der belegenen Sache zuständigen Gutachterausschuss auf Antrag einer Partei benannter Sachverständiger a</w:t>
      </w:r>
      <w:r w:rsidR="00874EC8">
        <w:rPr>
          <w:rFonts w:ascii="Bembo Std" w:eastAsia="Times New Roman" w:hAnsi="Bembo Std" w:cs="Times New Roman"/>
          <w:kern w:val="8"/>
          <w:sz w:val="17"/>
          <w:szCs w:val="16"/>
        </w:rPr>
        <w:t>ls Schiedsgutachter entscheidet.</w:t>
      </w:r>
    </w:p>
    <w:p w14:paraId="30961E72" w14:textId="77777777" w:rsidR="00754607" w:rsidRPr="00754607" w:rsidRDefault="00754607" w:rsidP="00754607">
      <w:pPr>
        <w:numPr>
          <w:ilvl w:val="0"/>
          <w:numId w:val="4"/>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Sonstige Vermögensgegenstände und Verbindlichkeiten, insbesondere liquides Vermögen, werden mit dem Nominalwert angesetzt.</w:t>
      </w:r>
    </w:p>
    <w:p w14:paraId="30961E73" w14:textId="77777777" w:rsidR="00754607" w:rsidRPr="00754607" w:rsidRDefault="00754607" w:rsidP="00754607">
      <w:pPr>
        <w:numPr>
          <w:ilvl w:val="0"/>
          <w:numId w:val="4"/>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In den Fällen des § 10 ist von der so ermittelten Abfindung ein Abschlag in Höhe von 50 %, in allen anderen Fällen in Höhe von 40 % vorzunehmen.</w:t>
      </w:r>
    </w:p>
    <w:p w14:paraId="30961E74" w14:textId="77777777" w:rsidR="00754607" w:rsidRPr="00754607" w:rsidRDefault="00754607" w:rsidP="00754607">
      <w:pPr>
        <w:numPr>
          <w:ilvl w:val="0"/>
          <w:numId w:val="3"/>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Das Abfindungsguthaben ist in drei gl</w:t>
      </w:r>
      <w:r w:rsidR="00874EC8">
        <w:rPr>
          <w:rFonts w:ascii="Bembo Std" w:eastAsia="Times New Roman" w:hAnsi="Bembo Std" w:cs="Times New Roman"/>
          <w:kern w:val="8"/>
          <w:sz w:val="17"/>
          <w:szCs w:val="16"/>
        </w:rPr>
        <w:t>eichen, unmittelbar aufeinander</w:t>
      </w:r>
      <w:r>
        <w:rPr>
          <w:rFonts w:ascii="Bembo Std" w:eastAsia="Times New Roman" w:hAnsi="Bembo Std" w:cs="Times New Roman"/>
          <w:kern w:val="8"/>
          <w:sz w:val="17"/>
          <w:szCs w:val="16"/>
        </w:rPr>
        <w:t>folgenden Jahresraten auszuzahlen. Die erste Rate ist ein Jahr nach dem Ausscheidungsstichtag zur Zahlung fällig. Ab diesem Zeitpunkt ist das restliche Abfindungsguthaben banküblich zu verzinsen. Zinsen sind jeweils mit den Jahresraten zu entrichten. Sicherheitsleistung kann nicht gefordert werden.</w:t>
      </w:r>
    </w:p>
    <w:p w14:paraId="30961E75" w14:textId="77777777" w:rsidR="00754607" w:rsidRPr="00754607" w:rsidRDefault="00754607" w:rsidP="00754607">
      <w:pPr>
        <w:numPr>
          <w:ilvl w:val="0"/>
          <w:numId w:val="3"/>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Gesellschaft ist auch berechtigt, dem ausscheidenden Gesellschafter in Anrechnung auf die Barabfindung eine Immobilie aus dem Gesellschaftsvermögen zu Eigentum zu übertragen.</w:t>
      </w:r>
    </w:p>
    <w:p w14:paraId="30961E76" w14:textId="77777777" w:rsidR="00754607" w:rsidRPr="00754607" w:rsidRDefault="00754607" w:rsidP="00754607">
      <w:pPr>
        <w:numPr>
          <w:ilvl w:val="0"/>
          <w:numId w:val="3"/>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Komplementär ist jederzeit berechtigt, eine Realteilung der Gesellschaft in der Weise durchzuführen, dass einzelne oder alle Gesellschafter gegen Zuteilung von Vermögensgegenständen aus der Gesellschaft ausscheiden, wenn die einzelnen Vermögensgegenstände den Wert der Gesellschaftsbeteiligung erreichen oder Wertdifferenzen bei zugeteilten Immobilien mit dem jeweiligen Gesellschaftsanteil in bar ausgeglichen werden. Sofern die zugeteilten Vermögenswerte den Wert der Gesellschaftsbeteiligung nicht erreichen und auch nicht in bar ausgeglichen werden, verbleibt derjenige Gesellschafter in der Gesellschaft, wobei sich die Kommanditbeteiligung entsprechend reduziert.</w:t>
      </w:r>
    </w:p>
    <w:p w14:paraId="30961E77" w14:textId="77777777" w:rsidR="00754607" w:rsidRPr="00754607" w:rsidRDefault="00874EC8" w:rsidP="00754607">
      <w:pPr>
        <w:numPr>
          <w:ilvl w:val="0"/>
          <w:numId w:val="3"/>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Für die Wertberechnung gelten die Bestimmungen unter Nr. </w:t>
      </w:r>
      <w:r w:rsidR="00754607">
        <w:rPr>
          <w:rFonts w:ascii="Bembo Std" w:eastAsia="Times New Roman" w:hAnsi="Bembo Std" w:cs="Times New Roman"/>
          <w:kern w:val="8"/>
          <w:sz w:val="17"/>
          <w:szCs w:val="16"/>
        </w:rPr>
        <w:t>1 entsprechend, wobei jedoch der volle Wert der Vermögensgegenstände anzusetzen ist.</w:t>
      </w:r>
    </w:p>
    <w:p w14:paraId="30961E78" w14:textId="77777777" w:rsidR="00754607" w:rsidRPr="00754607" w:rsidRDefault="00754607" w:rsidP="00754607">
      <w:pPr>
        <w:numPr>
          <w:ilvl w:val="0"/>
          <w:numId w:val="3"/>
        </w:numPr>
        <w:spacing w:after="0" w:line="192" w:lineRule="exact"/>
        <w:ind w:left="284" w:hanging="284"/>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Sofern die nach den vorstehenden Bestimmungen festgesetzte Abfindung unwirksam sein sollte, weil sie die gesetzlich erforderliche Mindestabfindung unterschreitet, gilt die geringste noch zulässigerweise zu vereinbarende Abfindung als vereinbart.</w:t>
      </w:r>
    </w:p>
    <w:p w14:paraId="30961E79"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12 Verfügung über Gesellschaftsanteile</w:t>
      </w:r>
    </w:p>
    <w:p w14:paraId="30961E7A"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1. Die Abtretung von Gesellschaftsanteilen bedarf der schriftlichen Zustimmung sämtlicher Gesellschafter mit Ausnahme der Abtretung an Mitgesellschafter und leibliche Abkömmlinge von Gesellschaftern.</w:t>
      </w:r>
    </w:p>
    <w:p w14:paraId="30961E7B"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 xml:space="preserve">2. Solange Herr EM und Frau EF (Übergeber) – bei mehreren Übergebern einer von diesen – Gesellschafter sind, gilt abweichend von </w:t>
      </w:r>
      <w:r w:rsidR="00874EC8">
        <w:rPr>
          <w:rFonts w:ascii="Bembo Std" w:eastAsia="Times New Roman" w:hAnsi="Bembo Std" w:cs="Times New Roman"/>
          <w:kern w:val="8"/>
          <w:sz w:val="17"/>
          <w:szCs w:val="16"/>
        </w:rPr>
        <w:t xml:space="preserve">Nr. </w:t>
      </w:r>
      <w:r w:rsidRPr="00754607">
        <w:rPr>
          <w:rFonts w:ascii="Bembo Std" w:eastAsia="Times New Roman" w:hAnsi="Bembo Std" w:cs="Times New Roman"/>
          <w:kern w:val="8"/>
          <w:sz w:val="17"/>
          <w:szCs w:val="16"/>
        </w:rPr>
        <w:t>1: Verfügungen durch einen Übergeber bedürfen keiner Zustimmung der Mitgesellschafter; jegliche Verfügung über Gesellschaftsanteile anderer Gesellschafter bedarf nur der Zustimmung der Übergeber, die Mitgesellschafter sind.</w:t>
      </w:r>
    </w:p>
    <w:p w14:paraId="30961E7C"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3. Ehegatten und Verwandten in gerader Linie kann ein </w:t>
      </w:r>
      <w:proofErr w:type="spellStart"/>
      <w:r>
        <w:rPr>
          <w:rFonts w:ascii="Bembo Std" w:eastAsia="Times New Roman" w:hAnsi="Bembo Std" w:cs="Times New Roman"/>
          <w:kern w:val="8"/>
          <w:sz w:val="17"/>
          <w:szCs w:val="16"/>
        </w:rPr>
        <w:t>Nießbrauchsrecht</w:t>
      </w:r>
      <w:proofErr w:type="spellEnd"/>
      <w:r>
        <w:rPr>
          <w:rFonts w:ascii="Bembo Std" w:eastAsia="Times New Roman" w:hAnsi="Bembo Std" w:cs="Times New Roman"/>
          <w:kern w:val="8"/>
          <w:sz w:val="17"/>
          <w:szCs w:val="16"/>
        </w:rPr>
        <w:t xml:space="preserve"> an den Gesellschaftsanteilen mit der Berechtigung zur Ausübung des Stimmrechts bestellt werden.</w:t>
      </w:r>
    </w:p>
    <w:p w14:paraId="30961E7D"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r>
    </w:p>
    <w:p w14:paraId="30961E7E"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13 Ableben eines Gesellschafters</w:t>
      </w:r>
    </w:p>
    <w:p w14:paraId="30961E7F"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b/>
        <w:t>1.</w:t>
      </w:r>
      <w:r>
        <w:rPr>
          <w:rFonts w:ascii="Bembo Std" w:eastAsia="Times New Roman" w:hAnsi="Bembo Std" w:cs="Times New Roman"/>
          <w:kern w:val="8"/>
          <w:sz w:val="17"/>
          <w:szCs w:val="16"/>
        </w:rPr>
        <w:tab/>
        <w:t>Beim Ableben eines Gesellschafters wird die Gesellschaft mit dessen Erben oder den Vermächtnisnehmern fortgesetzt, sofern es sich hierbei um Mitgesellschafter oder Abkömmlinge der Gründungsgesellschafter Eheleute E handelt oder innerhalb eines Jahres nach dem Versterben des Gesellschafters der Gesellschaftsanteil auf vorstehende Personen übertragen wird. Andernfalls scheidet der verstorbene Gesellschafter gegen Leistung einer Abfindung gem. § 11 des Vertrags mit Wirkung zum Todeszeitpunkt aus und wird die Gesellschaft von den verbleibenden Gesellschaftern fortgesetzt. In der Schwebezeit ruhen alle Gesellschafterrechte. Sind nachfolgeberechtigte Personen nicht mehr vorhanden, so sind alle Erben oder Vermächtnisnehmer des verstorbenen Gesellschafters nachfolgeberechtigt.</w:t>
      </w:r>
    </w:p>
    <w:p w14:paraId="30961E80"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2.</w:t>
      </w:r>
      <w:r w:rsidRPr="00754607">
        <w:rPr>
          <w:rFonts w:ascii="Bembo Std" w:eastAsia="Times New Roman" w:hAnsi="Bembo Std" w:cs="Times New Roman"/>
          <w:kern w:val="8"/>
          <w:sz w:val="17"/>
          <w:szCs w:val="16"/>
        </w:rPr>
        <w:tab/>
        <w:t xml:space="preserve">Für den Fall des Ablebens eines Gesellschafters kann dessen Ehegatten ein </w:t>
      </w:r>
      <w:proofErr w:type="spellStart"/>
      <w:r>
        <w:rPr>
          <w:rFonts w:ascii="Bembo Std" w:eastAsia="Times New Roman" w:hAnsi="Bembo Std" w:cs="Times New Roman"/>
          <w:kern w:val="8"/>
          <w:sz w:val="17"/>
          <w:szCs w:val="16"/>
        </w:rPr>
        <w:t>Nießbrauchsrecht</w:t>
      </w:r>
      <w:proofErr w:type="spellEnd"/>
      <w:r>
        <w:rPr>
          <w:rFonts w:ascii="Bembo Std" w:eastAsia="Times New Roman" w:hAnsi="Bembo Std" w:cs="Times New Roman"/>
          <w:kern w:val="8"/>
          <w:sz w:val="17"/>
          <w:szCs w:val="16"/>
        </w:rPr>
        <w:t xml:space="preserve"> für die Zeit nach dem Ableben der Ehegatten E bestellt werden.</w:t>
      </w:r>
    </w:p>
    <w:p w14:paraId="30961E81"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3.</w:t>
      </w:r>
      <w:r w:rsidRPr="00754607">
        <w:rPr>
          <w:rFonts w:ascii="Bembo Std" w:eastAsia="Times New Roman" w:hAnsi="Bembo Std" w:cs="Times New Roman"/>
          <w:kern w:val="8"/>
          <w:sz w:val="17"/>
          <w:szCs w:val="16"/>
        </w:rPr>
        <w:tab/>
        <w:t xml:space="preserve">Beim Ableben des letzten verbliebenen Komplementärs wird die Gesellschaft – wenn nicht die Gesellschafter die Auflösung mit Stimmenmehrheit beschließen – nicht aufgelöst, sondern von den Kommanditisten als Gesellschaft bürgerlichen Rechts fortgesetzt mit der Maßgabe, dass die Gesellschafter die Geschäfte der Gesellschaft dann gemeinschaftlich führen und die Gesellschaft gemeinschaftlich vertreten. Sind minderjährige Kommanditisten vorhanden, so bleibt die Gesellschaft Kommanditgesellschaft; die Stellung der volljährigen Kommanditisten, die der ältesten Generation angehören, wandelt sich in diejenige von persönlich haftenden Gesellschaftern mit gemeinschaftlicher Geschäftsführungs- und Vertretungsbefugnis um. Für den Fall, dass aufgrund der vorstehenden Bestimmungen sich die </w:t>
      </w:r>
      <w:proofErr w:type="spellStart"/>
      <w:r>
        <w:rPr>
          <w:rFonts w:ascii="Bembo Std" w:eastAsia="Times New Roman" w:hAnsi="Bembo Std" w:cs="Times New Roman"/>
          <w:kern w:val="8"/>
          <w:sz w:val="17"/>
          <w:szCs w:val="16"/>
        </w:rPr>
        <w:t>Kommanditistenstellung</w:t>
      </w:r>
      <w:proofErr w:type="spellEnd"/>
      <w:r>
        <w:rPr>
          <w:rFonts w:ascii="Bembo Std" w:eastAsia="Times New Roman" w:hAnsi="Bembo Std" w:cs="Times New Roman"/>
          <w:kern w:val="8"/>
          <w:sz w:val="17"/>
          <w:szCs w:val="16"/>
        </w:rPr>
        <w:t xml:space="preserve"> umwandelt in die eines persönlich haftenden Gesellschafters, steht dem betroffenen Gesellschafter ein außerordentliches Kündigungsrecht zu</w:t>
      </w:r>
      <w:r w:rsidR="00874EC8">
        <w:rPr>
          <w:rFonts w:ascii="Bembo Std" w:eastAsia="Times New Roman" w:hAnsi="Bembo Std" w:cs="Times New Roman"/>
          <w:kern w:val="8"/>
          <w:sz w:val="17"/>
          <w:szCs w:val="16"/>
        </w:rPr>
        <w:t>,</w:t>
      </w:r>
      <w:r>
        <w:rPr>
          <w:rFonts w:ascii="Bembo Std" w:eastAsia="Times New Roman" w:hAnsi="Bembo Std" w:cs="Times New Roman"/>
          <w:kern w:val="8"/>
          <w:sz w:val="17"/>
          <w:szCs w:val="16"/>
        </w:rPr>
        <w:t xml:space="preserve"> für das die Bestimmungen unter § 9 entsprechend gelten.</w:t>
      </w:r>
    </w:p>
    <w:p w14:paraId="30961E82"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4. Die Anordnung der Testamentsvollstreckung über einen Gesellschaftsanteil ist zulässig, wobei eine Dauervollstreckung längstens bis zur Vollendung des 25. Lebensjahres des Gesellschafters andauern darf.</w:t>
      </w:r>
    </w:p>
    <w:p w14:paraId="30961E83"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14 Liquidation</w:t>
      </w:r>
    </w:p>
    <w:p w14:paraId="30961E84" w14:textId="77777777" w:rsidR="00754607" w:rsidRPr="00754607" w:rsidRDefault="00754607" w:rsidP="00754607">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Im Falle der Auflösung der Gesellschaft sind die Liquidatoren berechtigt, den Grundbesitz der Gesellschaft im Wege der Realteilung nach ihrer Entscheidung den einzelnen Gesellschaftern zuzuweisen und Wertdifferenzen aus dem Gesellschaftsvermögen in bar auszugleichen.</w:t>
      </w:r>
    </w:p>
    <w:p w14:paraId="30961E85"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15 Schlussbestimmungen</w:t>
      </w:r>
    </w:p>
    <w:p w14:paraId="30961E86" w14:textId="77777777" w:rsidR="00754607" w:rsidRPr="00754607" w:rsidRDefault="00754607" w:rsidP="00754607">
      <w:pPr>
        <w:tabs>
          <w:tab w:val="right" w:pos="131"/>
        </w:tabs>
        <w:spacing w:after="0" w:line="192" w:lineRule="exact"/>
        <w:ind w:left="188" w:hanging="188"/>
        <w:jc w:val="both"/>
        <w:rPr>
          <w:rFonts w:ascii="Bembo Std" w:eastAsia="Times New Roman" w:hAnsi="Bembo Std" w:cs="Times New Roman"/>
          <w:kern w:val="8"/>
          <w:sz w:val="17"/>
          <w:szCs w:val="16"/>
        </w:rPr>
      </w:pPr>
      <w:r w:rsidRPr="00754607">
        <w:rPr>
          <w:rFonts w:ascii="Bembo Std" w:eastAsia="Times New Roman" w:hAnsi="Bembo Std" w:cs="Times New Roman"/>
          <w:kern w:val="8"/>
          <w:sz w:val="17"/>
          <w:szCs w:val="16"/>
        </w:rPr>
        <w:tab/>
        <w:t>1.</w:t>
      </w:r>
      <w:r w:rsidRPr="00754607">
        <w:rPr>
          <w:rFonts w:ascii="Bembo Std" w:eastAsia="Times New Roman" w:hAnsi="Bembo Std" w:cs="Times New Roman"/>
          <w:kern w:val="8"/>
          <w:sz w:val="17"/>
          <w:szCs w:val="16"/>
        </w:rPr>
        <w:tab/>
        <w:t>Soweit in diesem Gesellschaftsvertrag keine besondere Regelung getroffen ist, gelten die gesetzlichen Bestimmungen.</w:t>
      </w:r>
    </w:p>
    <w:p w14:paraId="30961E87" w14:textId="77777777" w:rsidR="00754607" w:rsidRPr="00754607" w:rsidRDefault="00754607" w:rsidP="00754607">
      <w:pPr>
        <w:tabs>
          <w:tab w:val="right" w:pos="131"/>
        </w:tabs>
        <w:spacing w:after="43"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b/>
        <w:t>2.</w:t>
      </w:r>
      <w:r>
        <w:rPr>
          <w:rFonts w:ascii="Bembo Std" w:eastAsia="Times New Roman" w:hAnsi="Bembo Std" w:cs="Times New Roman"/>
          <w:kern w:val="8"/>
          <w:sz w:val="17"/>
          <w:szCs w:val="16"/>
        </w:rPr>
        <w:tab/>
        <w:t>Die etwaige Nichtigkeit einzelner Bestimmungen berührt die Wirksamkeit des Gesellschaftsvertrags im Übrigen nicht. Die Bet</w:t>
      </w:r>
      <w:r w:rsidR="00874EC8">
        <w:rPr>
          <w:rFonts w:ascii="Bembo Std" w:eastAsia="Times New Roman" w:hAnsi="Bembo Std" w:cs="Times New Roman"/>
          <w:kern w:val="8"/>
          <w:sz w:val="17"/>
          <w:szCs w:val="16"/>
        </w:rPr>
        <w:t>eiligten sind verpflichtet, ans</w:t>
      </w:r>
      <w:r>
        <w:rPr>
          <w:rFonts w:ascii="Bembo Std" w:eastAsia="Times New Roman" w:hAnsi="Bembo Std" w:cs="Times New Roman"/>
          <w:kern w:val="8"/>
          <w:sz w:val="17"/>
          <w:szCs w:val="16"/>
        </w:rPr>
        <w:t>telle der unwirksamen Bestimmungen eine dem Vertragsgedanken entsprechende Neuregelung zu treffen.</w:t>
      </w:r>
    </w:p>
    <w:p w14:paraId="30961E88" w14:textId="77777777" w:rsidR="00754607" w:rsidRPr="00754607" w:rsidRDefault="00754607" w:rsidP="00754607">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 16 Mediation</w:t>
      </w:r>
    </w:p>
    <w:p w14:paraId="30961E89" w14:textId="77777777" w:rsidR="00754607" w:rsidRPr="00754607" w:rsidRDefault="00754607" w:rsidP="00754607">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lastRenderedPageBreak/>
        <w:t>Bei</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Streitigkeiten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im</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Zusammenhang</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mit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dieser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Urkunde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ist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jeder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Gesellschafter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erst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zur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Klageerhebung</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berechtigt,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wenn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zuvor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ein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Konfliktvermittlungsverfahren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(Mediation)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durchgeführt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wurde.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Streitschlichter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wird</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vom</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Präsidenten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des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Bayerischen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Notarvereins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bestimmt,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wenn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sich</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die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Beteiligten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nicht innerhalb eines Monats seit Geltendmachung von Ansprüchen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auf</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eine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Person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einvernehmlich</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einigen.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Bayerische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Notarverein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bestimmt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auch</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das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Verfahren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und</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die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Gebühren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des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Mediators.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Jeder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Gesellschafter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ist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berechtigt,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das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Konfliktvermittlungsverfahren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nicht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mehr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weiter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zu</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betreiben,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wenn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von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ihm</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geltend</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gemachte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Anspruch</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in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nächsten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drei</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Monaten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zu</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verjähren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droht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und</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die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übrigen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Beteiligten</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nicht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bereit</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sind,</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für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die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Dauer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eines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Jahres</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auf</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die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Einrede</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der</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Verjährung</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zu</w:t>
      </w:r>
      <w:r>
        <w:rPr>
          <w:rFonts w:ascii="Bembo Std" w:eastAsia="Times New Roman" w:hAnsi="Bembo Std" w:cs="Times New Roman"/>
          <w:color w:val="FFFF00"/>
          <w:spacing w:val="-10"/>
          <w:kern w:val="8"/>
          <w:sz w:val="17"/>
          <w:szCs w:val="16"/>
        </w:rPr>
        <w:t xml:space="preserve"> </w:t>
      </w:r>
      <w:r>
        <w:rPr>
          <w:rFonts w:ascii="Bembo Std" w:eastAsia="Times New Roman" w:hAnsi="Bembo Std" w:cs="Times New Roman"/>
          <w:kern w:val="8"/>
          <w:sz w:val="17"/>
          <w:szCs w:val="16"/>
        </w:rPr>
        <w:t>verzichten.</w:t>
      </w:r>
    </w:p>
    <w:p w14:paraId="30961E8A"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D42A1"/>
    <w:multiLevelType w:val="hybridMultilevel"/>
    <w:tmpl w:val="90EE93D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5586417A"/>
    <w:multiLevelType w:val="hybridMultilevel"/>
    <w:tmpl w:val="BD68CBE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5C420B08"/>
    <w:multiLevelType w:val="hybridMultilevel"/>
    <w:tmpl w:val="69D0D30A"/>
    <w:lvl w:ilvl="0" w:tplc="39C46E1E">
      <w:start w:val="1"/>
      <w:numFmt w:val="decimal"/>
      <w:lvlText w:val="%1."/>
      <w:lvlJc w:val="left"/>
      <w:pPr>
        <w:ind w:left="530" w:hanging="360"/>
      </w:pPr>
      <w:rPr>
        <w:rFonts w:hint="default"/>
      </w:rPr>
    </w:lvl>
    <w:lvl w:ilvl="1" w:tplc="04070019" w:tentative="1">
      <w:start w:val="1"/>
      <w:numFmt w:val="lowerLetter"/>
      <w:lvlText w:val="%2."/>
      <w:lvlJc w:val="left"/>
      <w:pPr>
        <w:ind w:left="1250" w:hanging="360"/>
      </w:pPr>
    </w:lvl>
    <w:lvl w:ilvl="2" w:tplc="0407001B" w:tentative="1">
      <w:start w:val="1"/>
      <w:numFmt w:val="lowerRoman"/>
      <w:lvlText w:val="%3."/>
      <w:lvlJc w:val="right"/>
      <w:pPr>
        <w:ind w:left="1970" w:hanging="180"/>
      </w:pPr>
    </w:lvl>
    <w:lvl w:ilvl="3" w:tplc="0407000F" w:tentative="1">
      <w:start w:val="1"/>
      <w:numFmt w:val="decimal"/>
      <w:lvlText w:val="%4."/>
      <w:lvlJc w:val="left"/>
      <w:pPr>
        <w:ind w:left="2690" w:hanging="360"/>
      </w:pPr>
    </w:lvl>
    <w:lvl w:ilvl="4" w:tplc="04070019" w:tentative="1">
      <w:start w:val="1"/>
      <w:numFmt w:val="lowerLetter"/>
      <w:lvlText w:val="%5."/>
      <w:lvlJc w:val="left"/>
      <w:pPr>
        <w:ind w:left="3410" w:hanging="360"/>
      </w:pPr>
    </w:lvl>
    <w:lvl w:ilvl="5" w:tplc="0407001B" w:tentative="1">
      <w:start w:val="1"/>
      <w:numFmt w:val="lowerRoman"/>
      <w:lvlText w:val="%6."/>
      <w:lvlJc w:val="right"/>
      <w:pPr>
        <w:ind w:left="4130" w:hanging="180"/>
      </w:pPr>
    </w:lvl>
    <w:lvl w:ilvl="6" w:tplc="0407000F" w:tentative="1">
      <w:start w:val="1"/>
      <w:numFmt w:val="decimal"/>
      <w:lvlText w:val="%7."/>
      <w:lvlJc w:val="left"/>
      <w:pPr>
        <w:ind w:left="4850" w:hanging="360"/>
      </w:pPr>
    </w:lvl>
    <w:lvl w:ilvl="7" w:tplc="04070019" w:tentative="1">
      <w:start w:val="1"/>
      <w:numFmt w:val="lowerLetter"/>
      <w:lvlText w:val="%8."/>
      <w:lvlJc w:val="left"/>
      <w:pPr>
        <w:ind w:left="5570" w:hanging="360"/>
      </w:pPr>
    </w:lvl>
    <w:lvl w:ilvl="8" w:tplc="0407001B" w:tentative="1">
      <w:start w:val="1"/>
      <w:numFmt w:val="lowerRoman"/>
      <w:lvlText w:val="%9."/>
      <w:lvlJc w:val="right"/>
      <w:pPr>
        <w:ind w:left="6290" w:hanging="180"/>
      </w:pPr>
    </w:lvl>
  </w:abstractNum>
  <w:abstractNum w:abstractNumId="3" w15:restartNumberingAfterBreak="0">
    <w:nsid w:val="6B660826"/>
    <w:multiLevelType w:val="hybridMultilevel"/>
    <w:tmpl w:val="A99065D8"/>
    <w:lvl w:ilvl="0" w:tplc="06C894B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32025775">
    <w:abstractNumId w:val="2"/>
  </w:num>
  <w:num w:numId="2" w16cid:durableId="1865246004">
    <w:abstractNumId w:val="3"/>
  </w:num>
  <w:num w:numId="3" w16cid:durableId="1441803848">
    <w:abstractNumId w:val="1"/>
  </w:num>
  <w:num w:numId="4" w16cid:durableId="915743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780"/>
    <w:rsid w:val="00057F46"/>
    <w:rsid w:val="00121A4E"/>
    <w:rsid w:val="003F339F"/>
    <w:rsid w:val="00400043"/>
    <w:rsid w:val="00754607"/>
    <w:rsid w:val="00874EC8"/>
    <w:rsid w:val="00954C91"/>
    <w:rsid w:val="00A15D12"/>
    <w:rsid w:val="00BE2780"/>
    <w:rsid w:val="00E47745"/>
    <w:rsid w:val="00FB1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61DC7"/>
  <w15:chartTrackingRefBased/>
  <w15:docId w15:val="{A669EFAA-3EDC-4EE9-9C30-E37465FD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811974-ED71-42E8-9225-79E44DBFC30A}">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793138DE-9758-44C3-BA62-5A175B9F5739}">
  <ds:schemaRefs>
    <ds:schemaRef ds:uri="http://schemas.microsoft.com/sharepoint/v3/contenttype/forms"/>
  </ds:schemaRefs>
</ds:datastoreItem>
</file>

<file path=customXml/itemProps3.xml><?xml version="1.0" encoding="utf-8"?>
<ds:datastoreItem xmlns:ds="http://schemas.openxmlformats.org/officeDocument/2006/customXml" ds:itemID="{74015D1E-36D8-4905-9113-AA8B15B1F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3733</Words>
  <Characters>23522</Characters>
  <Application>Microsoft Office Word</Application>
  <DocSecurity>0</DocSecurity>
  <Lines>196</Lines>
  <Paragraphs>54</Paragraphs>
  <ScaleCrop>false</ScaleCrop>
  <Company>Verlag C.H.Beck oHG</Company>
  <LinksUpToDate>false</LinksUpToDate>
  <CharactersWithSpaces>27201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5</cp:revision>
  <dcterms:created xsi:type="dcterms:W3CDTF">2019-11-25T11:33:00Z</dcterms:created>
  <dcterms:modified xsi:type="dcterms:W3CDTF">2026-04-24T11:36:00Z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